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附件2</w:t>
      </w:r>
    </w:p>
    <w:p>
      <w:pPr>
        <w:rPr>
          <w:rFonts w:ascii="方正小标宋简体" w:eastAsia="方正小标宋简体"/>
          <w:b/>
          <w:sz w:val="28"/>
          <w:szCs w:val="28"/>
        </w:rPr>
      </w:pPr>
    </w:p>
    <w:p>
      <w:pPr>
        <w:ind w:left="2700" w:hanging="2700" w:hangingChars="750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江西师范大学同等学力申请硕士学位校外学习中心管理团队（机构）遴选评分表</w:t>
      </w:r>
      <w:bookmarkEnd w:id="0"/>
    </w:p>
    <w:p>
      <w:pPr>
        <w:ind w:firstLine="420" w:firstLineChars="200"/>
        <w:rPr>
          <w:b/>
          <w:szCs w:val="21"/>
        </w:rPr>
      </w:pPr>
    </w:p>
    <w:p>
      <w:pPr>
        <w:ind w:firstLine="420" w:firstLineChars="200"/>
        <w:rPr>
          <w:b/>
          <w:szCs w:val="21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一、申请单位名称：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二、申请拟设立校外学习中心区域（在拟申请的选项后面打“√”，仅可选择其中一项，多选无效）：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区域一：浙江、江苏、上海、山东                           □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区域二：江西(赣西、北部地区)、湖南、湖北、安徽           □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区域三：云南、贵州、四川、广西                           □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区域四：北京、天津、河北、内蒙古                         □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区域五：山西、陕西、甘肃、宁夏                           □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区域六：江西(赣中、东、南部地区)、广东、河南             □</w:t>
      </w:r>
    </w:p>
    <w:p>
      <w:pPr>
        <w:rPr>
          <w:szCs w:val="21"/>
        </w:rPr>
        <w:sectPr>
          <w:pgSz w:w="16838" w:h="11906" w:orient="landscape"/>
          <w:pgMar w:top="1440" w:right="1985" w:bottom="1440" w:left="2098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</w:rPr>
        <w:t>区域七：福建、黑龙江、辽宁、吉林                         □</w:t>
      </w:r>
    </w:p>
    <w:p>
      <w:pPr>
        <w:tabs>
          <w:tab w:val="left" w:pos="1905"/>
        </w:tabs>
        <w:rPr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6776"/>
        <w:gridCol w:w="664"/>
        <w:gridCol w:w="571"/>
        <w:gridCol w:w="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设置指标</w:t>
            </w:r>
          </w:p>
        </w:tc>
        <w:tc>
          <w:tcPr>
            <w:tcW w:w="396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评审指标</w:t>
            </w:r>
          </w:p>
        </w:tc>
        <w:tc>
          <w:tcPr>
            <w:tcW w:w="67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评分方法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满分值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自评分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</w:rPr>
              <w:instrText xml:space="preserve">= 1 \* Arabic</w:instrText>
            </w:r>
            <w:r>
              <w:rPr>
                <w:rFonts w:ascii="仿宋" w:hAnsi="仿宋" w:eastAsia="仿宋"/>
                <w:sz w:val="24"/>
              </w:rPr>
              <w:fldChar w:fldCharType="separate"/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.申请单位相关资质条件情况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必须具有企业独立法人资格。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具有相关行政主管部门核发的教育咨询、</w:t>
            </w:r>
            <w:r>
              <w:rPr>
                <w:rFonts w:hint="eastAsia" w:ascii="仿宋" w:hAnsi="仿宋" w:eastAsia="仿宋"/>
                <w:sz w:val="24"/>
              </w:rPr>
              <w:t>教育培训、学历教育、继续教育等方面的资质证明（满足资质条件之一）。</w:t>
            </w:r>
          </w:p>
        </w:tc>
        <w:tc>
          <w:tcPr>
            <w:tcW w:w="6776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查看相关资质，包括申请单位概况、法人资格、营业执照等证明材料，经查实，符合条件得10分。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10分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2.申请单位具备的基础条件情况</w:t>
            </w:r>
          </w:p>
        </w:tc>
        <w:tc>
          <w:tcPr>
            <w:tcW w:w="3969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1.注册资金100万元（含）以上。</w:t>
            </w:r>
          </w:p>
          <w:p>
            <w:pPr>
              <w:spacing w:line="276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 w:cs="Arial"/>
                <w:sz w:val="24"/>
              </w:rPr>
              <w:t>固定的</w:t>
            </w:r>
            <w:r>
              <w:rPr>
                <w:rFonts w:hint="eastAsia" w:ascii="仿宋" w:hAnsi="仿宋" w:eastAsia="仿宋" w:cs="Arial"/>
                <w:sz w:val="24"/>
              </w:rPr>
              <w:t>办公</w:t>
            </w:r>
            <w:r>
              <w:rPr>
                <w:rFonts w:ascii="仿宋" w:hAnsi="仿宋" w:eastAsia="仿宋" w:cs="Arial"/>
                <w:sz w:val="24"/>
              </w:rPr>
              <w:t>场地</w:t>
            </w:r>
            <w:r>
              <w:rPr>
                <w:rFonts w:hint="eastAsia" w:ascii="仿宋" w:hAnsi="仿宋" w:eastAsia="仿宋"/>
                <w:sz w:val="24"/>
              </w:rPr>
              <w:t>总面积不少于</w:t>
            </w:r>
            <w:r>
              <w:rPr>
                <w:rFonts w:ascii="仿宋" w:hAnsi="仿宋" w:eastAsia="仿宋"/>
                <w:sz w:val="24"/>
              </w:rPr>
              <w:t>100</w:t>
            </w:r>
            <w:r>
              <w:rPr>
                <w:rFonts w:hint="eastAsia" w:ascii="仿宋" w:hAnsi="仿宋" w:eastAsia="仿宋"/>
                <w:sz w:val="24"/>
              </w:rPr>
              <w:t>平方，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并</w:t>
            </w:r>
            <w:r>
              <w:rPr>
                <w:rFonts w:ascii="仿宋" w:hAnsi="仿宋" w:eastAsia="仿宋" w:cs="Arial"/>
                <w:sz w:val="24"/>
              </w:rPr>
              <w:t>符合国家、地方有关安全、消防、卫生等方面的要求</w:t>
            </w:r>
            <w:r>
              <w:rPr>
                <w:rFonts w:hint="eastAsia" w:ascii="仿宋" w:hAnsi="仿宋" w:eastAsia="仿宋" w:cs="Arial"/>
                <w:sz w:val="24"/>
              </w:rPr>
              <w:t>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缴纳五险一金的专职人员5人以上。</w:t>
            </w:r>
          </w:p>
        </w:tc>
        <w:tc>
          <w:tcPr>
            <w:tcW w:w="6776" w:type="dxa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（1）查阅资金证明材料：包括</w:t>
            </w:r>
            <w:r>
              <w:fldChar w:fldCharType="begin"/>
            </w:r>
            <w:r>
              <w:instrText xml:space="preserve"> HYPERLINK "https://baike.sogou.com/v53149.htm" \t "_blank" </w:instrText>
            </w:r>
            <w:r>
              <w:fldChar w:fldCharType="separate"/>
            </w:r>
            <w:r>
              <w:rPr>
                <w:rStyle w:val="5"/>
                <w:rFonts w:ascii="仿宋" w:hAnsi="仿宋" w:eastAsia="仿宋" w:cs="Arial"/>
                <w:color w:val="auto"/>
                <w:sz w:val="24"/>
                <w:u w:val="none"/>
              </w:rPr>
              <w:t>会计事务所</w:t>
            </w:r>
            <w:r>
              <w:rPr>
                <w:rStyle w:val="5"/>
                <w:rFonts w:ascii="仿宋" w:hAnsi="仿宋" w:eastAsia="仿宋" w:cs="Arial"/>
                <w:color w:val="auto"/>
                <w:sz w:val="24"/>
                <w:u w:val="none"/>
              </w:rPr>
              <w:fldChar w:fldCharType="end"/>
            </w:r>
            <w:r>
              <w:rPr>
                <w:rFonts w:ascii="仿宋" w:hAnsi="仿宋" w:eastAsia="仿宋" w:cs="Arial"/>
                <w:sz w:val="24"/>
              </w:rPr>
              <w:t>出具的</w:t>
            </w:r>
            <w:r>
              <w:fldChar w:fldCharType="begin"/>
            </w:r>
            <w:r>
              <w:instrText xml:space="preserve"> HYPERLINK "https://baike.sogou.com/v7769583.htm" \t "_blank" </w:instrText>
            </w:r>
            <w:r>
              <w:fldChar w:fldCharType="separate"/>
            </w:r>
            <w:r>
              <w:rPr>
                <w:rStyle w:val="5"/>
                <w:rFonts w:ascii="仿宋" w:hAnsi="仿宋" w:eastAsia="仿宋" w:cs="Arial"/>
                <w:color w:val="auto"/>
                <w:sz w:val="24"/>
                <w:u w:val="none"/>
              </w:rPr>
              <w:t>验资证明</w:t>
            </w:r>
            <w:r>
              <w:rPr>
                <w:rStyle w:val="5"/>
                <w:rFonts w:ascii="仿宋" w:hAnsi="仿宋" w:eastAsia="仿宋" w:cs="Arial"/>
                <w:color w:val="auto"/>
                <w:sz w:val="24"/>
                <w:u w:val="none"/>
              </w:rPr>
              <w:fldChar w:fldCharType="end"/>
            </w:r>
            <w:r>
              <w:rPr>
                <w:rFonts w:ascii="仿宋" w:hAnsi="仿宋" w:eastAsia="仿宋" w:cs="Arial"/>
                <w:sz w:val="24"/>
              </w:rPr>
              <w:t>报告(资产来源、资金数额、资金使用情况、产权所属等有法律效力的证明文件)</w:t>
            </w:r>
            <w:r>
              <w:rPr>
                <w:rFonts w:hint="eastAsia" w:ascii="仿宋" w:hAnsi="仿宋" w:eastAsia="仿宋" w:cs="Arial"/>
                <w:sz w:val="24"/>
              </w:rPr>
              <w:t>等，符合条件得</w:t>
            </w:r>
            <w:r>
              <w:rPr>
                <w:rFonts w:ascii="仿宋" w:hAnsi="仿宋" w:eastAsia="仿宋" w:cs="Arial"/>
                <w:sz w:val="24"/>
              </w:rPr>
              <w:t>5</w:t>
            </w:r>
            <w:r>
              <w:rPr>
                <w:rFonts w:hint="eastAsia" w:ascii="仿宋" w:hAnsi="仿宋" w:eastAsia="仿宋" w:cs="Arial"/>
                <w:sz w:val="24"/>
              </w:rPr>
              <w:t>分；</w:t>
            </w:r>
            <w:r>
              <w:rPr>
                <w:rFonts w:hint="eastAsia" w:ascii="仿宋" w:hAnsi="仿宋" w:eastAsia="仿宋"/>
                <w:sz w:val="24"/>
              </w:rPr>
              <w:t>（2）提供近三年公司运营证明材料（场地证明、人员合同及缴纳五险一金凭证等），得5分。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10分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3.申请单位校外学习中心建设能力</w:t>
            </w:r>
          </w:p>
        </w:tc>
        <w:tc>
          <w:tcPr>
            <w:tcW w:w="3969" w:type="dxa"/>
            <w:vAlign w:val="center"/>
          </w:tcPr>
          <w:p>
            <w:pPr>
              <w:spacing w:line="276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制定校外学习中心建设方案（含招收专业、招生对象、招生区域、招生人数、招生措施、管理制度等）</w:t>
            </w:r>
          </w:p>
        </w:tc>
        <w:tc>
          <w:tcPr>
            <w:tcW w:w="6776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制定的项目招生宣传方案需符合我校实际情况及需求，思路清晰、措施具体。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针对本项目的实际需求，制定项目服务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流程及</w:t>
            </w:r>
            <w:r>
              <w:rPr>
                <w:rFonts w:ascii="仿宋" w:hAnsi="仿宋" w:eastAsia="仿宋" w:cs="宋体"/>
                <w:kern w:val="0"/>
                <w:sz w:val="24"/>
              </w:rPr>
              <w:t>质量保证措施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（包含相关管理制度、</w:t>
            </w:r>
            <w:r>
              <w:rPr>
                <w:rFonts w:ascii="仿宋" w:hAnsi="仿宋" w:eastAsia="仿宋" w:cs="宋体"/>
                <w:kern w:val="0"/>
                <w:sz w:val="24"/>
              </w:rPr>
              <w:t>责任落实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制度、风险防范和控制措施等）。</w:t>
            </w:r>
          </w:p>
          <w:p>
            <w:pPr>
              <w:spacing w:line="276" w:lineRule="auto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（3）</w:t>
            </w:r>
            <w:r>
              <w:rPr>
                <w:rFonts w:ascii="仿宋" w:hAnsi="仿宋" w:eastAsia="仿宋"/>
                <w:sz w:val="24"/>
              </w:rPr>
              <w:t>根据</w:t>
            </w:r>
            <w:r>
              <w:rPr>
                <w:rFonts w:hint="eastAsia" w:ascii="仿宋" w:hAnsi="仿宋" w:eastAsia="仿宋"/>
                <w:sz w:val="24"/>
              </w:rPr>
              <w:t>建设方案</w:t>
            </w:r>
            <w:r>
              <w:rPr>
                <w:rFonts w:ascii="仿宋" w:hAnsi="仿宋" w:eastAsia="仿宋"/>
                <w:sz w:val="24"/>
              </w:rPr>
              <w:t>措施的全面性、针对性、可行性方面进行评分，优得（</w:t>
            </w:r>
            <w:r>
              <w:rPr>
                <w:rFonts w:hint="eastAsia" w:ascii="仿宋" w:hAnsi="仿宋" w:eastAsia="仿宋"/>
                <w:sz w:val="24"/>
              </w:rPr>
              <w:t>35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</w:rPr>
              <w:t>40</w:t>
            </w:r>
            <w:r>
              <w:rPr>
                <w:rFonts w:ascii="仿宋" w:hAnsi="仿宋" w:eastAsia="仿宋"/>
                <w:sz w:val="24"/>
              </w:rPr>
              <w:t>]分；良好得（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</w:rPr>
              <w:t>35</w:t>
            </w:r>
            <w:r>
              <w:rPr>
                <w:rFonts w:ascii="仿宋" w:hAnsi="仿宋" w:eastAsia="仿宋"/>
                <w:sz w:val="24"/>
              </w:rPr>
              <w:t>]分；一般得（0-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]分； 未提供措施方案或提供措施方案不符合要求得 0 分。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40分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4．申请单位承诺招生计划情况。</w:t>
            </w:r>
          </w:p>
        </w:tc>
        <w:tc>
          <w:tcPr>
            <w:tcW w:w="3969" w:type="dxa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申请单位根据自身招生能力，承诺本区域的校外学习中心年度招生计划人数，并按照相应承诺的人数缴纳任务保证金。</w:t>
            </w:r>
          </w:p>
        </w:tc>
        <w:tc>
          <w:tcPr>
            <w:tcW w:w="677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承诺年招生人数以200人为底数，如承诺年招生200人，且缴纳任务保证金20万元，得15分。每承诺增加招生人数50人，且缴纳相应任务保证金5万元加3分，最高不超过15分。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30分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5.申请单位与其他高校开展合作情况</w:t>
            </w:r>
          </w:p>
        </w:tc>
        <w:tc>
          <w:tcPr>
            <w:tcW w:w="3969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是否能够合法、合规的履约合同</w:t>
            </w:r>
          </w:p>
        </w:tc>
        <w:tc>
          <w:tcPr>
            <w:tcW w:w="677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（1）具有同等学力项目业绩得2分，同类项目每增加一个业绩加1分，最高不超过5分。（2）</w:t>
            </w:r>
            <w:r>
              <w:rPr>
                <w:rFonts w:hint="eastAsia" w:ascii="仿宋" w:hAnsi="仿宋" w:eastAsia="仿宋" w:cs="Arial"/>
                <w:sz w:val="24"/>
              </w:rPr>
              <w:t>查看申请单位与其他高校合作的合同及完成情况，审核是否存在违规现象等。发现每存在一次违规现象扣2分（以此类推）三次及以上得0分；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5分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  <w:r>
              <w:rPr>
                <w:rFonts w:ascii="仿宋" w:hAnsi="仿宋" w:eastAsia="仿宋"/>
                <w:sz w:val="24"/>
              </w:rPr>
              <w:t>.申请单位</w:t>
            </w:r>
            <w:r>
              <w:rPr>
                <w:rFonts w:hint="eastAsia" w:ascii="仿宋" w:hAnsi="仿宋" w:eastAsia="仿宋"/>
                <w:sz w:val="24"/>
              </w:rPr>
              <w:t>同等学力或同类项目学习平台（系统）建设情况。</w:t>
            </w:r>
          </w:p>
        </w:tc>
        <w:tc>
          <w:tcPr>
            <w:tcW w:w="3969" w:type="dxa"/>
            <w:vAlign w:val="center"/>
          </w:tcPr>
          <w:p>
            <w:pPr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申请单位在开展同等学力项目或同类项目数字化、智能化管理方面的情况，包括网络平台(系统)建设及使用、管理等情况。</w:t>
            </w:r>
          </w:p>
        </w:tc>
        <w:tc>
          <w:tcPr>
            <w:tcW w:w="6776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开发及运行同等学力项目智能化管理服务平台（系统）一年以上。</w:t>
            </w:r>
            <w:r>
              <w:rPr>
                <w:rFonts w:ascii="仿宋" w:hAnsi="仿宋" w:eastAsia="仿宋"/>
                <w:sz w:val="24"/>
              </w:rPr>
              <w:t>提供平台（系统）功能技术参数</w:t>
            </w:r>
            <w:r>
              <w:rPr>
                <w:rFonts w:hint="eastAsia" w:ascii="仿宋" w:hAnsi="仿宋" w:eastAsia="仿宋"/>
                <w:sz w:val="24"/>
              </w:rPr>
              <w:t>、相关技术人员等资料，并提供该平台（系统）服务相关案例。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5分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  分</w:t>
            </w:r>
          </w:p>
        </w:tc>
        <w:tc>
          <w:tcPr>
            <w:tcW w:w="66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100分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评审意见</w:t>
            </w:r>
          </w:p>
        </w:tc>
        <w:tc>
          <w:tcPr>
            <w:tcW w:w="12551" w:type="dxa"/>
            <w:gridSpan w:val="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评审人（签名）：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  月     日</w:t>
            </w:r>
          </w:p>
        </w:tc>
      </w:tr>
    </w:tbl>
    <w:p/>
    <w:sectPr>
      <w:pgSz w:w="16838" w:h="11906" w:orient="landscape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99826"/>
    <w:multiLevelType w:val="singleLevel"/>
    <w:tmpl w:val="9BB998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0EC1C3"/>
    <w:multiLevelType w:val="singleLevel"/>
    <w:tmpl w:val="430EC1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GQ3ZWU5ZjliYzRlNTM0MTU1Yjg3YTY1OTNlYTIifQ=="/>
  </w:docVars>
  <w:rsids>
    <w:rsidRoot w:val="2F547569"/>
    <w:rsid w:val="2F5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2023-05-19T06:25:00Z</dcterms:created>
  <dc:creator>hp</dc:creator>
  <cp:lastModifiedBy>hp</cp:lastModifiedBy>
  <dcterms:modified xsi:type="dcterms:W3CDTF">2023-05-19T06:26:21Z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BBB02A3FB3404AEA99E08107FA58734A_11</vt:lpwstr>
  </property>
</Properties>
</file>