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19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783" w:type="dxa"/>
            <w:gridSpan w:val="3"/>
            <w:tcBorders>
              <w:tl2br w:val="nil"/>
              <w:tr2bl w:val="nil"/>
            </w:tcBorders>
            <w:shd w:val="clear" w:color="auto" w:fill="auto"/>
            <w:noWrap/>
            <w:vAlign w:val="center"/>
          </w:tcPr>
          <w:p>
            <w:pPr>
              <w:widowControl/>
              <w:jc w:val="center"/>
              <w:rPr>
                <w:rFonts w:ascii="宋体" w:hAnsi="宋体" w:eastAsia="宋体" w:cs="宋体"/>
                <w:b/>
                <w:bCs/>
                <w:color w:val="0D0D0D"/>
                <w:kern w:val="0"/>
                <w:sz w:val="28"/>
                <w:szCs w:val="28"/>
              </w:rPr>
            </w:pPr>
            <w:r>
              <w:rPr>
                <w:rFonts w:hint="eastAsia" w:ascii="宋体" w:hAnsi="宋体" w:eastAsia="宋体" w:cs="宋体"/>
                <w:b/>
                <w:bCs/>
                <w:color w:val="0D0D0D"/>
                <w:kern w:val="0"/>
                <w:sz w:val="28"/>
                <w:szCs w:val="28"/>
              </w:rPr>
              <w:t>“</w:t>
            </w:r>
            <w:r>
              <w:rPr>
                <w:rFonts w:hint="eastAsia" w:ascii="宋体" w:hAnsi="宋体" w:eastAsia="宋体" w:cs="宋体"/>
                <w:b/>
                <w:bCs/>
                <w:color w:val="0D0D0D"/>
                <w:kern w:val="0"/>
                <w:sz w:val="28"/>
                <w:szCs w:val="28"/>
                <w:lang w:eastAsia="zh-CN"/>
              </w:rPr>
              <w:t>知识产权</w:t>
            </w:r>
            <w:r>
              <w:rPr>
                <w:rFonts w:hint="eastAsia" w:ascii="宋体" w:hAnsi="宋体" w:eastAsia="宋体" w:cs="宋体"/>
                <w:b/>
                <w:bCs/>
                <w:color w:val="0D0D0D"/>
                <w:kern w:val="0"/>
                <w:sz w:val="28"/>
                <w:szCs w:val="28"/>
              </w:rPr>
              <w:t>代理机构名称”简要信息</w:t>
            </w:r>
          </w:p>
          <w:p>
            <w:pPr>
              <w:widowControl/>
              <w:jc w:val="center"/>
              <w:rPr>
                <w:rFonts w:ascii="宋体" w:hAnsi="宋体" w:eastAsia="宋体" w:cs="宋体"/>
                <w:b/>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190" w:type="dxa"/>
            <w:tcBorders>
              <w:tl2br w:val="nil"/>
              <w:tr2bl w:val="nil"/>
            </w:tcBorders>
            <w:shd w:val="clear" w:color="auto" w:fill="auto"/>
            <w:noWrap/>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成立时间、办公地点</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5190" w:type="dxa"/>
            <w:tcBorders>
              <w:tl2br w:val="nil"/>
              <w:tr2bl w:val="nil"/>
            </w:tcBorders>
            <w:shd w:val="clear" w:color="auto" w:fill="auto"/>
            <w:noWrap/>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执业专利代理人数</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5190" w:type="dxa"/>
            <w:tcBorders>
              <w:tl2br w:val="nil"/>
              <w:tr2bl w:val="nil"/>
            </w:tcBorders>
            <w:shd w:val="clear" w:color="auto" w:fill="auto"/>
            <w:noWrap/>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专利</w:t>
            </w:r>
            <w:r>
              <w:rPr>
                <w:rFonts w:hint="eastAsia" w:ascii="宋体" w:hAnsi="宋体" w:eastAsia="宋体" w:cs="宋体"/>
                <w:color w:val="000000"/>
                <w:kern w:val="0"/>
                <w:sz w:val="24"/>
                <w:szCs w:val="24"/>
                <w:lang w:eastAsia="zh-CN"/>
              </w:rPr>
              <w:t>质量审核</w:t>
            </w:r>
            <w:r>
              <w:rPr>
                <w:rFonts w:hint="eastAsia" w:ascii="宋体" w:hAnsi="宋体" w:eastAsia="宋体" w:cs="宋体"/>
                <w:color w:val="000000"/>
                <w:kern w:val="0"/>
                <w:sz w:val="24"/>
                <w:szCs w:val="24"/>
              </w:rPr>
              <w:t>人数</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5190"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知识产权服务人员</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5190"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擅长的技术领域</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5190"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擅长技术领域</w:t>
            </w:r>
            <w:r>
              <w:rPr>
                <w:rFonts w:hint="eastAsia" w:ascii="宋体" w:hAnsi="宋体" w:eastAsia="宋体" w:cs="宋体"/>
                <w:color w:val="000000"/>
                <w:kern w:val="0"/>
                <w:sz w:val="24"/>
                <w:szCs w:val="24"/>
                <w:lang w:eastAsia="zh-CN"/>
              </w:rPr>
              <w:t>团队介绍（可另附</w:t>
            </w:r>
            <w:bookmarkStart w:id="0" w:name="_GoBack"/>
            <w:bookmarkEnd w:id="0"/>
            <w:r>
              <w:rPr>
                <w:rFonts w:hint="eastAsia" w:ascii="宋体" w:hAnsi="宋体" w:eastAsia="宋体" w:cs="宋体"/>
                <w:color w:val="000000"/>
                <w:kern w:val="0"/>
                <w:sz w:val="24"/>
                <w:szCs w:val="24"/>
                <w:lang w:eastAsia="zh-CN"/>
              </w:rPr>
              <w:t>）</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5190" w:type="dxa"/>
            <w:tcBorders>
              <w:tl2br w:val="nil"/>
              <w:tr2bl w:val="nil"/>
            </w:tcBorders>
            <w:shd w:val="clear" w:color="auto" w:fill="auto"/>
            <w:noWrap/>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eastAsia="zh-CN"/>
              </w:rPr>
              <w:t>服务高校、科研院所</w:t>
            </w:r>
            <w:r>
              <w:rPr>
                <w:rFonts w:hint="eastAsia" w:ascii="宋体" w:hAnsi="宋体" w:eastAsia="宋体" w:cs="宋体"/>
                <w:color w:val="000000"/>
                <w:kern w:val="0"/>
                <w:sz w:val="24"/>
                <w:szCs w:val="24"/>
              </w:rPr>
              <w:t>的发明专利代理量</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5190" w:type="dxa"/>
            <w:tcBorders>
              <w:tl2br w:val="nil"/>
              <w:tr2bl w:val="nil"/>
            </w:tcBorders>
            <w:shd w:val="clear" w:color="auto" w:fill="auto"/>
            <w:noWrap/>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eastAsia="zh-CN"/>
              </w:rPr>
              <w:t>服务高校、科研院所</w:t>
            </w:r>
            <w:r>
              <w:rPr>
                <w:rFonts w:hint="eastAsia" w:ascii="宋体" w:hAnsi="宋体" w:eastAsia="宋体" w:cs="宋体"/>
                <w:color w:val="000000"/>
                <w:kern w:val="0"/>
                <w:sz w:val="24"/>
                <w:szCs w:val="24"/>
              </w:rPr>
              <w:t>的发明专利授权量</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c>
          <w:tcPr>
            <w:tcW w:w="5190"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eastAsia="zh-CN"/>
              </w:rPr>
              <w:t>服务高校、科研院所</w:t>
            </w:r>
            <w:r>
              <w:rPr>
                <w:rFonts w:hint="eastAsia" w:ascii="宋体" w:hAnsi="宋体" w:eastAsia="宋体" w:cs="宋体"/>
                <w:color w:val="000000"/>
                <w:kern w:val="0"/>
                <w:sz w:val="24"/>
                <w:szCs w:val="24"/>
              </w:rPr>
              <w:t>的复审无效诉讼量</w:t>
            </w:r>
          </w:p>
        </w:tc>
        <w:tc>
          <w:tcPr>
            <w:tcW w:w="2955" w:type="dxa"/>
            <w:tcBorders>
              <w:tl2br w:val="nil"/>
              <w:tr2bl w:val="nil"/>
            </w:tcBorders>
            <w:shd w:val="clear" w:color="auto" w:fill="auto"/>
            <w:noWrap/>
            <w:vAlign w:val="center"/>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5190" w:type="dxa"/>
            <w:tcBorders>
              <w:tl2br w:val="nil"/>
              <w:tr2bl w:val="nil"/>
            </w:tcBorders>
            <w:shd w:val="clear" w:color="auto" w:fill="auto"/>
            <w:noWrap/>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近三年主要服务的</w:t>
            </w:r>
            <w:r>
              <w:rPr>
                <w:rFonts w:hint="eastAsia" w:ascii="宋体" w:hAnsi="宋体" w:eastAsia="宋体" w:cs="宋体"/>
                <w:color w:val="000000"/>
                <w:kern w:val="0"/>
                <w:sz w:val="24"/>
                <w:szCs w:val="24"/>
                <w:lang w:eastAsia="zh-CN"/>
              </w:rPr>
              <w:t>高校、科研院所重点</w:t>
            </w:r>
            <w:r>
              <w:rPr>
                <w:rFonts w:hint="eastAsia" w:ascii="宋体" w:hAnsi="宋体" w:eastAsia="宋体" w:cs="宋体"/>
                <w:color w:val="000000"/>
                <w:kern w:val="0"/>
                <w:sz w:val="24"/>
                <w:szCs w:val="24"/>
              </w:rPr>
              <w:t>客户名称（代理量20件以上）</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38" w:type="dxa"/>
            <w:tcBorders>
              <w:tl2br w:val="nil"/>
              <w:tr2bl w:val="nil"/>
            </w:tcBorders>
            <w:shd w:val="clear" w:color="auto" w:fill="auto"/>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5190" w:type="dxa"/>
            <w:tcBorders>
              <w:tl2br w:val="nil"/>
              <w:tr2bl w:val="nil"/>
            </w:tcBorders>
            <w:shd w:val="clear" w:color="auto" w:fill="auto"/>
            <w:noWrap/>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信息化管理情况（管理系统、购买的商业数据库）</w:t>
            </w:r>
          </w:p>
        </w:tc>
        <w:tc>
          <w:tcPr>
            <w:tcW w:w="2955" w:type="dxa"/>
            <w:tcBorders>
              <w:tl2br w:val="nil"/>
              <w:tr2bl w:val="nil"/>
            </w:tcBorders>
            <w:shd w:val="clear" w:color="auto" w:fill="auto"/>
            <w:noWrap/>
            <w:vAlign w:val="center"/>
          </w:tcPr>
          <w:p>
            <w:pPr>
              <w:widowControl/>
              <w:jc w:val="left"/>
              <w:rPr>
                <w:rFonts w:ascii="宋体" w:hAnsi="宋体" w:eastAsia="宋体" w:cs="宋体"/>
                <w:color w:val="000000"/>
                <w:kern w:val="0"/>
                <w:sz w:val="2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宋体" w:hAnsi="宋体" w:eastAsia="宋体"/>
          <w:lang w:eastAsia="zh-CN"/>
        </w:rPr>
      </w:pPr>
      <w:r>
        <w:rPr>
          <w:rFonts w:hint="eastAsia" w:ascii="宋体" w:hAnsi="宋体" w:eastAsia="宋体"/>
          <w:lang w:eastAsia="zh-CN"/>
        </w:rPr>
        <w:t>备注：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sz w:val="21"/>
          <w:szCs w:val="21"/>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1、成立时间满三年、2019年1月之前在南昌市拥有办公地点（</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以租赁合同为准</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kern w:val="0"/>
          <w:sz w:val="21"/>
          <w:szCs w:val="21"/>
          <w:shd w:val="clear" w:fill="FFFFFF"/>
          <w:lang w:val="en-US" w:eastAsia="zh-CN" w:bidi="ar"/>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2、执业专利代理人数（</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以拥有代理人执业证备案为准</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kern w:val="0"/>
          <w:sz w:val="21"/>
          <w:szCs w:val="21"/>
          <w:shd w:val="clear" w:fill="FFFFFF"/>
          <w:lang w:val="en-US" w:eastAsia="zh-CN" w:bidi="ar"/>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3、专利质量审核人员（</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专利审核年限，工作履历，审核资格证为标准</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sz w:val="21"/>
          <w:szCs w:val="21"/>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4、知识产权服务人员（</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服务人员以缴纳江西省社保为准，需提供招标公告上一个月由江西省内的社保管理中心出具的应答人员工社保缴纳证明材料。</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kern w:val="0"/>
          <w:sz w:val="21"/>
          <w:szCs w:val="21"/>
          <w:shd w:val="clear" w:fill="FFFFFF"/>
          <w:lang w:val="en-US" w:eastAsia="zh-CN" w:bidi="ar"/>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5、代理机构擅长的技术领域：物理，化学，食品，电学，机械（</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以代理人所学专业，代理的专利为准</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kern w:val="0"/>
          <w:sz w:val="21"/>
          <w:szCs w:val="21"/>
          <w:shd w:val="clear" w:fill="FFFFFF"/>
          <w:lang w:val="en-US" w:eastAsia="zh-CN" w:bidi="ar"/>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6、擅长的技术领域团队介绍，（</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包括技术负责人情况，拥有执业代理人数量、重要服务客户名称、显著业绩</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sz w:val="21"/>
          <w:szCs w:val="21"/>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7、近3年的高校，科研单位发明专利代理量（</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申请量以soopat官网公开的，申请日在2019，7.19-2022.7.19之间的数据为准</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kern w:val="0"/>
          <w:sz w:val="21"/>
          <w:szCs w:val="21"/>
          <w:shd w:val="clear" w:fill="FFFFFF"/>
          <w:lang w:val="en-US" w:eastAsia="zh-CN" w:bidi="ar"/>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8、近3年的高校，科研单位发明专利授权量（</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申请量以soopat官网公开的，申请日在2019，7.19-2022.7.19之间的数据为准</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kern w:val="0"/>
          <w:sz w:val="21"/>
          <w:szCs w:val="21"/>
          <w:shd w:val="clear" w:fill="FFFFFF"/>
          <w:lang w:val="en-US" w:eastAsia="zh-CN" w:bidi="ar"/>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9、近3年的高校，科研所复审无效诉讼量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kern w:val="0"/>
          <w:sz w:val="21"/>
          <w:szCs w:val="21"/>
          <w:shd w:val="clear" w:fill="FFFFFF"/>
          <w:lang w:val="en-US" w:eastAsia="zh-CN" w:bidi="ar"/>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10、近3年服务的高校，科研所重点客户名单（</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代理量20件以上</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i w:val="0"/>
          <w:iCs w:val="0"/>
          <w:caps w:val="0"/>
          <w:color w:val="333333"/>
          <w:spacing w:val="0"/>
          <w:kern w:val="0"/>
          <w:sz w:val="21"/>
          <w:szCs w:val="21"/>
          <w:shd w:val="clear" w:fill="FFFFFF"/>
          <w:lang w:val="en-US" w:eastAsia="zh-CN" w:bidi="ar"/>
        </w:rPr>
      </w:pPr>
      <w:r>
        <w:rPr>
          <w:rFonts w:hint="eastAsia" w:ascii="仿宋" w:hAnsi="仿宋" w:eastAsia="仿宋" w:cs="仿宋"/>
          <w:b w:val="0"/>
          <w:bCs w:val="0"/>
          <w:i w:val="0"/>
          <w:iCs w:val="0"/>
          <w:caps w:val="0"/>
          <w:color w:val="333333"/>
          <w:spacing w:val="0"/>
          <w:kern w:val="0"/>
          <w:sz w:val="21"/>
          <w:szCs w:val="21"/>
          <w:shd w:val="clear" w:fill="FFFFFF"/>
          <w:lang w:val="en-US" w:eastAsia="zh-CN" w:bidi="ar"/>
        </w:rPr>
        <w:t>11、代理机构信息化管理情况（</w:t>
      </w:r>
      <w:r>
        <w:rPr>
          <w:rFonts w:hint="eastAsia" w:ascii="仿宋" w:hAnsi="仿宋" w:eastAsia="仿宋" w:cs="仿宋"/>
          <w:b w:val="0"/>
          <w:bCs w:val="0"/>
          <w:i w:val="0"/>
          <w:iCs w:val="0"/>
          <w:caps w:val="0"/>
          <w:color w:val="FF0000"/>
          <w:spacing w:val="0"/>
          <w:kern w:val="0"/>
          <w:sz w:val="21"/>
          <w:szCs w:val="21"/>
          <w:shd w:val="clear" w:fill="FFFFFF"/>
          <w:lang w:val="en-US" w:eastAsia="zh-CN" w:bidi="ar"/>
        </w:rPr>
        <w:t>管理系统、购买的商业数据库</w:t>
      </w:r>
      <w:r>
        <w:rPr>
          <w:rFonts w:hint="eastAsia" w:ascii="仿宋" w:hAnsi="仿宋" w:eastAsia="仿宋" w:cs="仿宋"/>
          <w:b w:val="0"/>
          <w:bCs w:val="0"/>
          <w:i w:val="0"/>
          <w:iCs w:val="0"/>
          <w:caps w:val="0"/>
          <w:color w:val="333333"/>
          <w:spacing w:val="0"/>
          <w:kern w:val="0"/>
          <w:sz w:val="21"/>
          <w:szCs w:val="21"/>
          <w:shd w:val="clear" w:fill="FFFFFF"/>
          <w:lang w:val="en-US" w:eastAsia="zh-CN" w:bidi="ar"/>
        </w:rPr>
        <w:t>）</w:t>
      </w:r>
    </w:p>
    <w:p>
      <w:pPr>
        <w:rPr>
          <w:rFonts w:hint="eastAsia" w:ascii="仿宋" w:hAnsi="仿宋" w:eastAsia="仿宋" w:cs="仿宋"/>
          <w:b w:val="0"/>
          <w:bCs w:val="0"/>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02"/>
    <w:rsid w:val="00067202"/>
    <w:rsid w:val="000F5932"/>
    <w:rsid w:val="003F42F0"/>
    <w:rsid w:val="004E46ED"/>
    <w:rsid w:val="00F75D33"/>
    <w:rsid w:val="066C3CAA"/>
    <w:rsid w:val="1A8973C3"/>
    <w:rsid w:val="36E40A53"/>
    <w:rsid w:val="516277C0"/>
    <w:rsid w:val="6DDF0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Words>
  <Characters>190</Characters>
  <Lines>1</Lines>
  <Paragraphs>1</Paragraphs>
  <TotalTime>16</TotalTime>
  <ScaleCrop>false</ScaleCrop>
  <LinksUpToDate>false</LinksUpToDate>
  <CharactersWithSpaces>222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2020-04-24T03:58:00Z</dcterms:created>
  <dc:creator>wu jf</dc:creator>
  <cp:lastModifiedBy>Administrator</cp:lastModifiedBy>
  <dcterms:modified xsi:type="dcterms:W3CDTF">2022-07-22T02:09:10Z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