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69" w:rsidRDefault="007F6F5E" w:rsidP="00144A69">
      <w:pPr>
        <w:widowControl/>
        <w:shd w:val="clear" w:color="auto" w:fill="FFFFFF"/>
        <w:spacing w:line="500" w:lineRule="exact"/>
        <w:ind w:firstLine="560"/>
        <w:jc w:val="center"/>
        <w:rPr>
          <w:rFonts w:ascii="微软雅黑" w:eastAsia="微软雅黑" w:hAnsi="微软雅黑" w:cs="宋体"/>
          <w:bCs/>
          <w:sz w:val="36"/>
          <w:szCs w:val="36"/>
        </w:rPr>
      </w:pPr>
      <w:bookmarkStart w:id="0" w:name="_GoBack"/>
      <w:r w:rsidRPr="007F6F5E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关于申请图文中心四区二楼墙面砖维修更换</w:t>
      </w:r>
      <w:r w:rsidR="00144A69">
        <w:rPr>
          <w:rFonts w:ascii="微软雅黑" w:eastAsia="微软雅黑" w:hAnsi="微软雅黑" w:cs="宋体" w:hint="eastAsia"/>
          <w:bCs/>
          <w:sz w:val="36"/>
          <w:szCs w:val="36"/>
        </w:rPr>
        <w:t>项目的询价公告（〔2022〕</w:t>
      </w:r>
      <w:r>
        <w:rPr>
          <w:rFonts w:ascii="微软雅黑" w:eastAsia="微软雅黑" w:hAnsi="微软雅黑" w:cs="宋体"/>
          <w:bCs/>
          <w:sz w:val="36"/>
          <w:szCs w:val="36"/>
        </w:rPr>
        <w:t>4110</w:t>
      </w:r>
    </w:p>
    <w:bookmarkEnd w:id="0"/>
    <w:p w:rsidR="00B12F4D" w:rsidRPr="00AD63AA" w:rsidRDefault="00144A69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江西师范大学瑶湖校区</w:t>
      </w:r>
      <w:r w:rsidR="007F6F5E" w:rsidRPr="007F6F5E">
        <w:rPr>
          <w:rFonts w:hint="eastAsia"/>
          <w:color w:val="333333"/>
          <w:sz w:val="27"/>
          <w:szCs w:val="27"/>
          <w:shd w:val="clear" w:color="auto" w:fill="FFFFFF"/>
        </w:rPr>
        <w:t>图文中心值班员反映楼内四区二楼的墙面砖有起鼓脱落的现象，维修部接单后对松动起鼓的地方进行安全隐患排除共计有</w:t>
      </w:r>
      <w:r w:rsidR="007F6F5E" w:rsidRPr="007F6F5E">
        <w:rPr>
          <w:rFonts w:hint="eastAsia"/>
          <w:color w:val="333333"/>
          <w:sz w:val="27"/>
          <w:szCs w:val="27"/>
          <w:shd w:val="clear" w:color="auto" w:fill="FFFFFF"/>
        </w:rPr>
        <w:t>17</w:t>
      </w:r>
      <w:r w:rsidR="007F6F5E" w:rsidRPr="007F6F5E">
        <w:rPr>
          <w:rFonts w:hint="eastAsia"/>
          <w:color w:val="333333"/>
          <w:sz w:val="27"/>
          <w:szCs w:val="27"/>
          <w:shd w:val="clear" w:color="auto" w:fill="FFFFFF"/>
        </w:rPr>
        <w:t>块砖脱落，需尽快予以维修处理。</w:t>
      </w:r>
      <w:r w:rsidR="00B12F4D"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55318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55318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655318">
        <w:rPr>
          <w:rFonts w:hint="eastAsia"/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55318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553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553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4F8" w:rsidRDefault="007B24F8" w:rsidP="00FE732D">
      <w:r>
        <w:separator/>
      </w:r>
    </w:p>
  </w:endnote>
  <w:endnote w:type="continuationSeparator" w:id="0">
    <w:p w:rsidR="007B24F8" w:rsidRDefault="007B24F8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4F8" w:rsidRDefault="007B24F8" w:rsidP="00FE732D">
      <w:r>
        <w:separator/>
      </w:r>
    </w:p>
  </w:footnote>
  <w:footnote w:type="continuationSeparator" w:id="0">
    <w:p w:rsidR="007B24F8" w:rsidRDefault="007B24F8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44A69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47578"/>
    <w:rsid w:val="0055407A"/>
    <w:rsid w:val="005C2E44"/>
    <w:rsid w:val="005C38E2"/>
    <w:rsid w:val="005C6CE2"/>
    <w:rsid w:val="005D5F0C"/>
    <w:rsid w:val="006236AD"/>
    <w:rsid w:val="006400C6"/>
    <w:rsid w:val="00655318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B24F8"/>
    <w:rsid w:val="007C2259"/>
    <w:rsid w:val="007D478B"/>
    <w:rsid w:val="007D7ADD"/>
    <w:rsid w:val="007F581B"/>
    <w:rsid w:val="007F6F5E"/>
    <w:rsid w:val="00800ECE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EFC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2023-09-19T08:25:00Z</dcterms:created>
  <dcterms:modified xsi:type="dcterms:W3CDTF">2023-09-19T08:25:00Z</dcterms:modified>
</cp:coreProperties>
</file>