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1117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1117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关于江西省第二批高校辅导员“名师工作室”建设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1396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1117A" w:rsidRPr="0081117A">
        <w:rPr>
          <w:rFonts w:hint="eastAsia"/>
          <w:color w:val="333333"/>
          <w:sz w:val="27"/>
          <w:szCs w:val="27"/>
          <w:shd w:val="clear" w:color="auto" w:fill="FFFFFF"/>
        </w:rPr>
        <w:t>根据《关于公布江西省第二批高校辅导员“名师工作室”的通知》（赣教社政字〔</w:t>
      </w:r>
      <w:r w:rsidR="0081117A" w:rsidRPr="0081117A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81117A" w:rsidRPr="0081117A">
        <w:rPr>
          <w:rFonts w:hint="eastAsia"/>
          <w:color w:val="333333"/>
          <w:sz w:val="27"/>
          <w:szCs w:val="27"/>
          <w:shd w:val="clear" w:color="auto" w:fill="FFFFFF"/>
        </w:rPr>
        <w:t>〕</w:t>
      </w:r>
      <w:r w:rsidR="0081117A" w:rsidRPr="0081117A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 w:rsidR="0081117A" w:rsidRPr="0081117A">
        <w:rPr>
          <w:rFonts w:hint="eastAsia"/>
          <w:color w:val="333333"/>
          <w:sz w:val="27"/>
          <w:szCs w:val="27"/>
          <w:shd w:val="clear" w:color="auto" w:fill="FFFFFF"/>
        </w:rPr>
        <w:t>号），我校辅导员汤美丽入选江西省第二批高校辅导员“名师工作室”，按照《江西省高校辅导员“名师工作室”建设管理办法（试行）》要求，学校应提供办公场所的建设，省教育厅将组织专家对工作室工作进展情况进行年度考核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6514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6514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26514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651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26514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651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651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21" w:rsidRDefault="00D82A21" w:rsidP="00FE732D">
      <w:r>
        <w:separator/>
      </w:r>
    </w:p>
  </w:endnote>
  <w:endnote w:type="continuationSeparator" w:id="0">
    <w:p w:rsidR="00D82A21" w:rsidRDefault="00D82A2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21" w:rsidRDefault="00D82A21" w:rsidP="00FE732D">
      <w:r>
        <w:separator/>
      </w:r>
    </w:p>
  </w:footnote>
  <w:footnote w:type="continuationSeparator" w:id="0">
    <w:p w:rsidR="00D82A21" w:rsidRDefault="00D82A2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65143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117A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82A21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8E95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2024-04-08T06:09:00Z</dcterms:created>
  <dcterms:modified xsi:type="dcterms:W3CDTF">2024-04-08T06:09:00Z</dcterms:modified>
</cp:coreProperties>
</file>