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江西师范大学干部人事档案数字化信息化建设项目需求报告</w:t>
      </w:r>
    </w:p>
    <w:p>
      <w:pPr>
        <w:jc w:val="center"/>
        <w:rPr>
          <w:rFonts w:ascii="宋体" w:hAnsi="宋体" w:cs="宋体"/>
          <w:b/>
          <w:bCs/>
          <w:sz w:val="36"/>
          <w:szCs w:val="36"/>
        </w:rPr>
      </w:pPr>
    </w:p>
    <w:p>
      <w:pPr>
        <w:numPr>
          <w:ilvl w:val="0"/>
          <w:numId w:val="2"/>
        </w:numPr>
        <w:rPr>
          <w:rFonts w:ascii="宋体" w:hAnsi="宋体" w:cs="宋体"/>
          <w:sz w:val="28"/>
          <w:szCs w:val="28"/>
        </w:rPr>
      </w:pPr>
      <w:r>
        <w:rPr>
          <w:rFonts w:hint="eastAsia" w:ascii="宋体" w:hAnsi="宋体" w:cs="宋体"/>
          <w:sz w:val="28"/>
          <w:szCs w:val="28"/>
        </w:rPr>
        <w:t>商务条款</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39"/>
        <w:textAlignment w:val="auto"/>
        <w:rPr>
          <w:rFonts w:ascii="宋体" w:hAnsi="宋体" w:cs="宋体"/>
          <w:sz w:val="28"/>
          <w:szCs w:val="28"/>
        </w:rPr>
      </w:pPr>
      <w:r>
        <w:rPr>
          <w:rFonts w:hint="eastAsia" w:ascii="宋体" w:hAnsi="宋体" w:cs="宋体"/>
          <w:b/>
          <w:bCs/>
          <w:sz w:val="28"/>
          <w:szCs w:val="28"/>
        </w:rPr>
        <w:t>服务保证：</w:t>
      </w:r>
      <w:r>
        <w:rPr>
          <w:rFonts w:hint="eastAsia" w:ascii="宋体" w:hAnsi="宋体" w:cs="宋体"/>
          <w:sz w:val="28"/>
          <w:szCs w:val="28"/>
        </w:rPr>
        <w:t>提供自项目验收之日起3年免费系统维保服务，成交供应商在服务期内，提供及时的维保服务。</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39"/>
        <w:textAlignment w:val="auto"/>
        <w:rPr>
          <w:rFonts w:ascii="宋体" w:hAnsi="宋体" w:cs="宋体"/>
          <w:sz w:val="28"/>
          <w:szCs w:val="28"/>
        </w:rPr>
      </w:pPr>
      <w:r>
        <w:rPr>
          <w:rFonts w:hint="eastAsia" w:ascii="宋体" w:hAnsi="宋体" w:cs="宋体"/>
          <w:b/>
          <w:bCs/>
          <w:sz w:val="28"/>
          <w:szCs w:val="28"/>
        </w:rPr>
        <w:t>售后服务：</w:t>
      </w:r>
      <w:r>
        <w:rPr>
          <w:rFonts w:ascii="宋体" w:hAnsi="宋体" w:cs="宋体"/>
          <w:sz w:val="28"/>
          <w:szCs w:val="28"/>
        </w:rPr>
        <w:t>提供 7*24 小时响应服务，并安排原厂认证工程师接受申告。当</w:t>
      </w:r>
      <w:r>
        <w:rPr>
          <w:rFonts w:hint="eastAsia" w:ascii="宋体" w:hAnsi="宋体" w:cs="宋体"/>
          <w:sz w:val="28"/>
          <w:szCs w:val="28"/>
        </w:rPr>
        <w:t>系统</w:t>
      </w:r>
      <w:r>
        <w:rPr>
          <w:rFonts w:ascii="宋体" w:hAnsi="宋体" w:cs="宋体"/>
          <w:sz w:val="28"/>
          <w:szCs w:val="28"/>
        </w:rPr>
        <w:t>出现</w:t>
      </w:r>
      <w:r>
        <w:rPr>
          <w:rFonts w:hint="eastAsia" w:ascii="宋体" w:hAnsi="宋体" w:cs="宋体"/>
          <w:sz w:val="28"/>
          <w:szCs w:val="28"/>
        </w:rPr>
        <w:t>问题</w:t>
      </w:r>
      <w:r>
        <w:rPr>
          <w:rFonts w:ascii="宋体" w:hAnsi="宋体" w:cs="宋体"/>
          <w:sz w:val="28"/>
          <w:szCs w:val="28"/>
        </w:rPr>
        <w:t>时，采购人</w:t>
      </w:r>
      <w:r>
        <w:rPr>
          <w:rFonts w:hint="eastAsia" w:ascii="宋体" w:hAnsi="宋体" w:cs="宋体"/>
          <w:sz w:val="28"/>
          <w:szCs w:val="28"/>
        </w:rPr>
        <w:t>可拨打</w:t>
      </w:r>
      <w:r>
        <w:rPr>
          <w:rFonts w:ascii="宋体" w:hAnsi="宋体" w:cs="宋体"/>
          <w:sz w:val="28"/>
          <w:szCs w:val="28"/>
        </w:rPr>
        <w:t>指定的响应电话进行故障</w:t>
      </w:r>
      <w:r>
        <w:rPr>
          <w:rFonts w:hint="eastAsia" w:ascii="宋体" w:hAnsi="宋体" w:cs="宋体"/>
          <w:sz w:val="28"/>
          <w:szCs w:val="28"/>
        </w:rPr>
        <w:t>申报</w:t>
      </w:r>
      <w:r>
        <w:rPr>
          <w:rFonts w:ascii="宋体" w:hAnsi="宋体" w:cs="宋体"/>
          <w:sz w:val="28"/>
          <w:szCs w:val="28"/>
        </w:rPr>
        <w:t xml:space="preserve">或技术咨询。当需要查阅相关资料再对采购人的问题进行回复时，应确保在 </w:t>
      </w:r>
      <w:r>
        <w:rPr>
          <w:rFonts w:hint="eastAsia" w:ascii="宋体" w:hAnsi="宋体" w:cs="宋体"/>
          <w:sz w:val="28"/>
          <w:szCs w:val="28"/>
        </w:rPr>
        <w:t>4 小时</w:t>
      </w:r>
      <w:r>
        <w:rPr>
          <w:rFonts w:ascii="宋体" w:hAnsi="宋体" w:cs="宋体"/>
          <w:sz w:val="28"/>
          <w:szCs w:val="28"/>
        </w:rPr>
        <w:t xml:space="preserve">内回复，电话支持 </w:t>
      </w:r>
      <w:r>
        <w:rPr>
          <w:rFonts w:hint="eastAsia" w:ascii="宋体" w:hAnsi="宋体" w:cs="宋体"/>
          <w:sz w:val="28"/>
          <w:szCs w:val="28"/>
        </w:rPr>
        <w:t>1</w:t>
      </w:r>
      <w:r>
        <w:rPr>
          <w:rFonts w:ascii="宋体" w:hAnsi="宋体" w:cs="宋体"/>
          <w:sz w:val="28"/>
          <w:szCs w:val="28"/>
        </w:rPr>
        <w:t>2 小时内故障未修复则升级为现场支持服务。</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ascii="宋体" w:hAnsi="宋体" w:cs="宋体"/>
          <w:sz w:val="28"/>
          <w:szCs w:val="28"/>
        </w:rPr>
      </w:pPr>
      <w:r>
        <w:rPr>
          <w:rFonts w:hint="eastAsia" w:ascii="宋体" w:hAnsi="宋体" w:cs="宋体"/>
          <w:b/>
          <w:bCs/>
          <w:sz w:val="28"/>
          <w:szCs w:val="28"/>
        </w:rPr>
        <w:t>履约保证金：</w:t>
      </w:r>
      <w:r>
        <w:rPr>
          <w:rFonts w:hint="eastAsia" w:ascii="宋体" w:hAnsi="宋体" w:cs="宋体"/>
          <w:sz w:val="28"/>
          <w:szCs w:val="28"/>
        </w:rPr>
        <w:t>合同签订时，成交供应商应以银行转账方式向采购人支付合同总价款的5%作为履约保证金，非现金方式包括支票、汇票、本票、网上银行支付（汇入甲方指定账户），若成交供应商未出现违反谈判文件及本合同规定之情形，则自验收合格正式使用1年期满后15个工作日内，采购人将履约保证金一次性无息退还给供应商。若成交供应商出现违约情况，则保证金不予退返，且视情况追究成交供应商有关经济赔偿责任。</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ascii="宋体" w:hAnsi="宋体" w:cs="宋体"/>
          <w:sz w:val="28"/>
          <w:szCs w:val="28"/>
        </w:rPr>
      </w:pPr>
      <w:r>
        <w:rPr>
          <w:rFonts w:hint="eastAsia" w:ascii="宋体" w:hAnsi="宋体" w:cs="宋体"/>
          <w:b/>
          <w:bCs/>
          <w:sz w:val="28"/>
          <w:szCs w:val="28"/>
        </w:rPr>
        <w:t>付款方式：</w:t>
      </w:r>
      <w:r>
        <w:rPr>
          <w:rFonts w:hint="eastAsia" w:ascii="宋体" w:hAnsi="宋体" w:cs="宋体"/>
          <w:sz w:val="28"/>
          <w:szCs w:val="28"/>
        </w:rPr>
        <w:t xml:space="preserve"> 项目验收合格后，供应商应向采购人出具合同价款总额的增值税专用发票，采购人在收到发票后90日内向供应商支付合同价款总额的100%。</w:t>
      </w:r>
    </w:p>
    <w:p>
      <w:pPr>
        <w:pStyle w:val="3"/>
        <w:keepNext w:val="0"/>
        <w:keepLines w:val="0"/>
        <w:pageBreakBefore w:val="0"/>
        <w:numPr>
          <w:ilvl w:val="0"/>
          <w:numId w:val="3"/>
        </w:numPr>
        <w:kinsoku/>
        <w:wordWrap/>
        <w:overflowPunct/>
        <w:topLinePunct w:val="0"/>
        <w:autoSpaceDE/>
        <w:autoSpaceDN/>
        <w:bidi w:val="0"/>
        <w:adjustRightInd/>
        <w:snapToGrid/>
        <w:spacing w:after="0" w:line="360" w:lineRule="auto"/>
        <w:ind w:left="432" w:hanging="432" w:firstLineChars="0"/>
        <w:textAlignment w:val="auto"/>
        <w:rPr>
          <w:rFonts w:hint="eastAsia" w:ascii="宋体" w:hAnsi="宋体" w:cs="宋体"/>
          <w:sz w:val="28"/>
          <w:szCs w:val="28"/>
          <w:highlight w:val="none"/>
        </w:rPr>
      </w:pPr>
      <w:r>
        <w:rPr>
          <w:rFonts w:hint="eastAsia" w:ascii="宋体" w:hAnsi="宋体" w:eastAsia="宋体" w:cs="宋体"/>
          <w:sz w:val="28"/>
          <w:szCs w:val="28"/>
          <w:highlight w:val="none"/>
        </w:rPr>
        <w:t>本合同标的物一律为正版软件，且软件的所有权归采购方所有。</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sz w:val="28"/>
          <w:szCs w:val="28"/>
        </w:rPr>
      </w:pPr>
      <w:r>
        <w:rPr>
          <w:rFonts w:hint="eastAsia" w:ascii="宋体" w:hAnsi="宋体" w:cs="宋体"/>
          <w:sz w:val="28"/>
          <w:szCs w:val="28"/>
          <w:highlight w:val="none"/>
        </w:rPr>
        <w:t>投标方保证其履行本合同提供的产品不侵犯任何第三方的专利权、商标权或其他知识产权或其他合法权益。如软件产品侵犯任何第三方的权利（包括但不限于知识产权），投标方应根据采购方要求采取一切措施确保采购方获得继续使用软件产品的权利，一旦采购方因此遭受到任何第三方的索赔、诉讼或任何权利请求，投标方应承担由此而引起的一切法律责任和费用。</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sz w:val="28"/>
          <w:szCs w:val="28"/>
        </w:rPr>
      </w:pPr>
      <w:r>
        <w:rPr>
          <w:rFonts w:hint="eastAsia" w:ascii="宋体" w:hAnsi="宋体" w:cs="宋体"/>
          <w:b/>
          <w:bCs/>
          <w:sz w:val="28"/>
          <w:szCs w:val="28"/>
        </w:rPr>
        <w:t>交货地点：</w:t>
      </w:r>
      <w:r>
        <w:rPr>
          <w:rFonts w:hint="eastAsia" w:ascii="宋体" w:hAnsi="宋体" w:cs="宋体"/>
          <w:sz w:val="28"/>
          <w:szCs w:val="28"/>
        </w:rPr>
        <w:t>江西师范大学档案馆。</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sz w:val="28"/>
          <w:szCs w:val="28"/>
        </w:rPr>
      </w:pPr>
      <w:r>
        <w:rPr>
          <w:rFonts w:hint="eastAsia" w:ascii="宋体" w:hAnsi="宋体" w:cs="宋体"/>
          <w:b/>
          <w:bCs/>
          <w:sz w:val="28"/>
          <w:szCs w:val="28"/>
        </w:rPr>
        <w:t>交货期：</w:t>
      </w:r>
      <w:bookmarkStart w:id="0" w:name="_Hlk59793833"/>
      <w:r>
        <w:rPr>
          <w:rFonts w:hint="eastAsia" w:ascii="宋体" w:hAnsi="宋体" w:cs="宋体"/>
          <w:sz w:val="28"/>
          <w:szCs w:val="28"/>
        </w:rPr>
        <w:t>合同签订后1 年内完成。</w:t>
      </w:r>
      <w:bookmarkEnd w:id="0"/>
    </w:p>
    <w:p>
      <w:pPr>
        <w:rPr>
          <w:rFonts w:ascii="宋体" w:hAnsi="宋体" w:cs="宋体"/>
          <w:sz w:val="28"/>
          <w:szCs w:val="28"/>
        </w:rPr>
        <w:sectPr>
          <w:pgSz w:w="11906" w:h="16838"/>
          <w:pgMar w:top="1440" w:right="1800" w:bottom="1440" w:left="1800" w:header="851" w:footer="992" w:gutter="0"/>
          <w:cols w:space="720" w:num="1"/>
          <w:docGrid w:type="lines" w:linePitch="312" w:charSpace="0"/>
        </w:sectPr>
      </w:pPr>
    </w:p>
    <w:p>
      <w:pPr>
        <w:numPr>
          <w:ilvl w:val="0"/>
          <w:numId w:val="2"/>
        </w:numPr>
        <w:rPr>
          <w:rFonts w:ascii="宋体" w:hAnsi="宋体" w:cs="宋体"/>
          <w:sz w:val="28"/>
          <w:szCs w:val="28"/>
        </w:rPr>
      </w:pPr>
      <w:r>
        <w:rPr>
          <w:rFonts w:hint="eastAsia" w:ascii="宋体" w:hAnsi="宋体" w:cs="宋体"/>
          <w:sz w:val="28"/>
          <w:szCs w:val="28"/>
        </w:rPr>
        <w:t>技术条款</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4935"/>
        <w:gridCol w:w="3435"/>
        <w:gridCol w:w="130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shd w:val="clear" w:color="auto" w:fill="auto"/>
            <w:vAlign w:val="center"/>
          </w:tcPr>
          <w:p>
            <w:pPr>
              <w:jc w:val="center"/>
              <w:rPr>
                <w:rFonts w:ascii="宋体" w:hAnsi="宋体" w:cs="宋体"/>
                <w:sz w:val="28"/>
                <w:szCs w:val="28"/>
              </w:rPr>
            </w:pPr>
            <w:r>
              <w:rPr>
                <w:rFonts w:hint="eastAsia" w:ascii="宋体" w:hAnsi="宋体" w:cs="宋体"/>
                <w:sz w:val="28"/>
                <w:szCs w:val="28"/>
              </w:rPr>
              <w:t>序号</w:t>
            </w:r>
          </w:p>
        </w:tc>
        <w:tc>
          <w:tcPr>
            <w:tcW w:w="4935" w:type="dxa"/>
            <w:shd w:val="clear" w:color="auto" w:fill="auto"/>
            <w:vAlign w:val="center"/>
          </w:tcPr>
          <w:p>
            <w:pPr>
              <w:jc w:val="center"/>
              <w:rPr>
                <w:rFonts w:ascii="宋体" w:hAnsi="宋体" w:cs="宋体"/>
                <w:sz w:val="28"/>
                <w:szCs w:val="28"/>
              </w:rPr>
            </w:pPr>
            <w:r>
              <w:rPr>
                <w:rFonts w:hint="eastAsia" w:ascii="宋体" w:hAnsi="宋体" w:cs="宋体"/>
                <w:sz w:val="28"/>
                <w:szCs w:val="28"/>
              </w:rPr>
              <w:t>货物名称</w:t>
            </w:r>
          </w:p>
        </w:tc>
        <w:tc>
          <w:tcPr>
            <w:tcW w:w="3435" w:type="dxa"/>
            <w:shd w:val="clear" w:color="auto" w:fill="auto"/>
            <w:vAlign w:val="center"/>
          </w:tcPr>
          <w:p>
            <w:pPr>
              <w:jc w:val="center"/>
              <w:rPr>
                <w:rFonts w:ascii="宋体" w:hAnsi="宋体" w:cs="宋体"/>
                <w:sz w:val="28"/>
                <w:szCs w:val="28"/>
              </w:rPr>
            </w:pPr>
            <w:r>
              <w:rPr>
                <w:rFonts w:hint="eastAsia" w:ascii="宋体" w:hAnsi="宋体" w:cs="宋体"/>
                <w:sz w:val="28"/>
                <w:szCs w:val="28"/>
              </w:rPr>
              <w:t>技术参数</w:t>
            </w:r>
          </w:p>
        </w:tc>
        <w:tc>
          <w:tcPr>
            <w:tcW w:w="1304" w:type="dxa"/>
            <w:shd w:val="clear" w:color="auto" w:fill="auto"/>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rPr>
              <w:t>数量</w:t>
            </w:r>
          </w:p>
        </w:tc>
        <w:tc>
          <w:tcPr>
            <w:tcW w:w="2355" w:type="dxa"/>
            <w:shd w:val="clear" w:color="auto" w:fill="auto"/>
            <w:vAlign w:val="center"/>
          </w:tcPr>
          <w:p>
            <w:pPr>
              <w:jc w:val="center"/>
              <w:rPr>
                <w:rFonts w:ascii="宋体" w:hAnsi="宋体" w:cs="宋体"/>
                <w:sz w:val="28"/>
                <w:szCs w:val="28"/>
              </w:rPr>
            </w:pPr>
            <w:r>
              <w:rPr>
                <w:rFonts w:hint="eastAsia" w:ascii="宋体" w:hAnsi="宋体" w:cs="宋体"/>
                <w:sz w:val="28"/>
                <w:szCs w:val="28"/>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shd w:val="clear" w:color="auto" w:fill="auto"/>
            <w:vAlign w:val="center"/>
          </w:tcPr>
          <w:p>
            <w:pPr>
              <w:numPr>
                <w:ilvl w:val="0"/>
                <w:numId w:val="4"/>
              </w:numPr>
              <w:jc w:val="center"/>
              <w:rPr>
                <w:rFonts w:ascii="宋体" w:hAnsi="宋体" w:cs="宋体"/>
                <w:sz w:val="28"/>
                <w:szCs w:val="28"/>
              </w:rPr>
            </w:pPr>
          </w:p>
        </w:tc>
        <w:tc>
          <w:tcPr>
            <w:tcW w:w="4935" w:type="dxa"/>
            <w:shd w:val="clear" w:color="auto" w:fill="auto"/>
            <w:vAlign w:val="center"/>
          </w:tcPr>
          <w:p>
            <w:pPr>
              <w:jc w:val="center"/>
              <w:rPr>
                <w:rFonts w:ascii="宋体" w:hAnsi="宋体" w:cs="宋体"/>
                <w:sz w:val="28"/>
                <w:szCs w:val="28"/>
              </w:rPr>
            </w:pPr>
            <w:r>
              <w:rPr>
                <w:rFonts w:hint="eastAsia" w:ascii="宋体" w:hAnsi="宋体" w:cs="宋体"/>
                <w:sz w:val="28"/>
                <w:szCs w:val="28"/>
              </w:rPr>
              <w:t>干部档案管理信息系统（局域网版）</w:t>
            </w:r>
          </w:p>
        </w:tc>
        <w:tc>
          <w:tcPr>
            <w:tcW w:w="3435" w:type="dxa"/>
            <w:shd w:val="clear" w:color="auto" w:fill="auto"/>
            <w:vAlign w:val="center"/>
          </w:tcPr>
          <w:p>
            <w:pPr>
              <w:jc w:val="center"/>
              <w:rPr>
                <w:rFonts w:ascii="宋体" w:hAnsi="宋体" w:cs="宋体"/>
                <w:sz w:val="28"/>
                <w:szCs w:val="28"/>
              </w:rPr>
            </w:pPr>
            <w:r>
              <w:rPr>
                <w:rFonts w:hint="eastAsia" w:ascii="宋体" w:hAnsi="宋体" w:cs="宋体"/>
                <w:sz w:val="28"/>
                <w:szCs w:val="28"/>
              </w:rPr>
              <w:t>见技术参数附件第二部分</w:t>
            </w:r>
          </w:p>
        </w:tc>
        <w:tc>
          <w:tcPr>
            <w:tcW w:w="1304" w:type="dxa"/>
            <w:shd w:val="clear" w:color="auto" w:fill="auto"/>
            <w:vAlign w:val="center"/>
          </w:tcPr>
          <w:p>
            <w:pPr>
              <w:jc w:val="center"/>
              <w:rPr>
                <w:rFonts w:ascii="宋体" w:hAnsi="宋体" w:cs="宋体"/>
                <w:sz w:val="28"/>
                <w:szCs w:val="28"/>
              </w:rPr>
            </w:pPr>
            <w:r>
              <w:rPr>
                <w:rFonts w:hint="eastAsia" w:ascii="宋体" w:hAnsi="宋体" w:cs="宋体"/>
                <w:sz w:val="28"/>
                <w:szCs w:val="28"/>
              </w:rPr>
              <w:t>1</w:t>
            </w:r>
          </w:p>
        </w:tc>
        <w:tc>
          <w:tcPr>
            <w:tcW w:w="2355" w:type="dxa"/>
            <w:shd w:val="clear" w:color="auto" w:fill="auto"/>
            <w:vAlign w:val="center"/>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shd w:val="clear" w:color="auto" w:fill="auto"/>
            <w:vAlign w:val="center"/>
          </w:tcPr>
          <w:p>
            <w:pPr>
              <w:numPr>
                <w:ilvl w:val="0"/>
                <w:numId w:val="4"/>
              </w:numPr>
              <w:jc w:val="center"/>
              <w:rPr>
                <w:rFonts w:ascii="宋体" w:hAnsi="宋体" w:cs="宋体"/>
                <w:sz w:val="28"/>
                <w:szCs w:val="28"/>
              </w:rPr>
            </w:pPr>
          </w:p>
        </w:tc>
        <w:tc>
          <w:tcPr>
            <w:tcW w:w="4935" w:type="dxa"/>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档案数字化制作</w:t>
            </w:r>
          </w:p>
        </w:tc>
        <w:tc>
          <w:tcPr>
            <w:tcW w:w="3435" w:type="dxa"/>
            <w:shd w:val="clear" w:color="auto" w:fill="auto"/>
            <w:vAlign w:val="center"/>
          </w:tcPr>
          <w:p>
            <w:pPr>
              <w:jc w:val="center"/>
              <w:rPr>
                <w:rFonts w:ascii="宋体" w:hAnsi="宋体" w:cs="宋体"/>
                <w:sz w:val="28"/>
                <w:szCs w:val="28"/>
              </w:rPr>
            </w:pPr>
            <w:r>
              <w:rPr>
                <w:rFonts w:hint="eastAsia" w:ascii="宋体" w:hAnsi="宋体" w:cs="宋体"/>
                <w:sz w:val="28"/>
                <w:szCs w:val="28"/>
              </w:rPr>
              <w:t>见技术参数附件第三部分</w:t>
            </w:r>
          </w:p>
        </w:tc>
        <w:tc>
          <w:tcPr>
            <w:tcW w:w="1304" w:type="dxa"/>
            <w:shd w:val="clear" w:color="auto" w:fill="auto"/>
            <w:vAlign w:val="center"/>
          </w:tcPr>
          <w:p>
            <w:pPr>
              <w:jc w:val="center"/>
              <w:rPr>
                <w:rFonts w:ascii="宋体" w:hAnsi="宋体" w:cs="宋体"/>
                <w:sz w:val="28"/>
                <w:szCs w:val="28"/>
              </w:rPr>
            </w:pPr>
            <w:r>
              <w:rPr>
                <w:rFonts w:hint="eastAsia" w:ascii="宋体" w:hAnsi="宋体" w:cs="宋体"/>
                <w:sz w:val="28"/>
                <w:szCs w:val="28"/>
              </w:rPr>
              <w:t>3500</w:t>
            </w:r>
          </w:p>
        </w:tc>
        <w:tc>
          <w:tcPr>
            <w:tcW w:w="2355" w:type="dxa"/>
            <w:shd w:val="clear" w:color="auto" w:fill="auto"/>
            <w:vAlign w:val="center"/>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shd w:val="clear" w:color="auto" w:fill="auto"/>
            <w:vAlign w:val="center"/>
          </w:tcPr>
          <w:p>
            <w:pPr>
              <w:numPr>
                <w:ilvl w:val="0"/>
                <w:numId w:val="4"/>
              </w:numPr>
              <w:jc w:val="center"/>
              <w:rPr>
                <w:rFonts w:ascii="宋体" w:hAnsi="宋体" w:cs="宋体"/>
                <w:sz w:val="28"/>
                <w:szCs w:val="28"/>
              </w:rPr>
            </w:pPr>
          </w:p>
        </w:tc>
        <w:tc>
          <w:tcPr>
            <w:tcW w:w="4935" w:type="dxa"/>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配套硬件设备及耗材</w:t>
            </w:r>
          </w:p>
        </w:tc>
        <w:tc>
          <w:tcPr>
            <w:tcW w:w="3435" w:type="dxa"/>
            <w:shd w:val="clear" w:color="auto" w:fill="auto"/>
            <w:vAlign w:val="center"/>
          </w:tcPr>
          <w:p>
            <w:pPr>
              <w:jc w:val="center"/>
              <w:rPr>
                <w:rFonts w:ascii="宋体" w:hAnsi="宋体" w:cs="宋体"/>
                <w:sz w:val="28"/>
                <w:szCs w:val="28"/>
              </w:rPr>
            </w:pPr>
            <w:r>
              <w:rPr>
                <w:rFonts w:hint="eastAsia" w:ascii="宋体" w:hAnsi="宋体" w:cs="宋体"/>
                <w:sz w:val="28"/>
                <w:szCs w:val="28"/>
              </w:rPr>
              <w:t>见技术参数附件第四部分</w:t>
            </w:r>
          </w:p>
        </w:tc>
        <w:tc>
          <w:tcPr>
            <w:tcW w:w="1304" w:type="dxa"/>
            <w:shd w:val="clear" w:color="auto" w:fill="auto"/>
            <w:vAlign w:val="center"/>
          </w:tcPr>
          <w:p>
            <w:pPr>
              <w:jc w:val="center"/>
              <w:rPr>
                <w:rFonts w:ascii="宋体" w:hAnsi="宋体" w:cs="宋体"/>
                <w:sz w:val="28"/>
                <w:szCs w:val="28"/>
              </w:rPr>
            </w:pPr>
            <w:r>
              <w:rPr>
                <w:rFonts w:hint="eastAsia" w:ascii="宋体" w:hAnsi="宋体" w:cs="宋体"/>
                <w:sz w:val="28"/>
                <w:szCs w:val="28"/>
              </w:rPr>
              <w:t>1</w:t>
            </w:r>
          </w:p>
        </w:tc>
        <w:tc>
          <w:tcPr>
            <w:tcW w:w="2355" w:type="dxa"/>
            <w:shd w:val="clear" w:color="auto" w:fill="auto"/>
            <w:vAlign w:val="center"/>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shd w:val="clear" w:color="auto" w:fill="auto"/>
            <w:vAlign w:val="center"/>
          </w:tcPr>
          <w:p>
            <w:pPr>
              <w:numPr>
                <w:ilvl w:val="0"/>
                <w:numId w:val="4"/>
              </w:numPr>
              <w:jc w:val="center"/>
              <w:rPr>
                <w:rFonts w:ascii="宋体" w:hAnsi="宋体" w:cs="宋体"/>
                <w:sz w:val="28"/>
                <w:szCs w:val="28"/>
              </w:rPr>
            </w:pPr>
          </w:p>
        </w:tc>
        <w:tc>
          <w:tcPr>
            <w:tcW w:w="4935" w:type="dxa"/>
            <w:shd w:val="clear" w:color="auto" w:fill="auto"/>
            <w:vAlign w:val="center"/>
          </w:tcPr>
          <w:p>
            <w:pPr>
              <w:jc w:val="center"/>
              <w:rPr>
                <w:rFonts w:ascii="宋体" w:hAnsi="宋体" w:cs="宋体"/>
                <w:sz w:val="28"/>
                <w:szCs w:val="28"/>
              </w:rPr>
            </w:pPr>
          </w:p>
        </w:tc>
        <w:tc>
          <w:tcPr>
            <w:tcW w:w="3435" w:type="dxa"/>
            <w:shd w:val="clear" w:color="auto" w:fill="auto"/>
            <w:vAlign w:val="center"/>
          </w:tcPr>
          <w:p>
            <w:pPr>
              <w:jc w:val="center"/>
              <w:rPr>
                <w:rFonts w:ascii="宋体" w:hAnsi="宋体" w:cs="宋体"/>
                <w:sz w:val="28"/>
                <w:szCs w:val="28"/>
              </w:rPr>
            </w:pPr>
          </w:p>
        </w:tc>
        <w:tc>
          <w:tcPr>
            <w:tcW w:w="1304" w:type="dxa"/>
            <w:shd w:val="clear" w:color="auto" w:fill="auto"/>
            <w:vAlign w:val="center"/>
          </w:tcPr>
          <w:p>
            <w:pPr>
              <w:jc w:val="center"/>
              <w:rPr>
                <w:rFonts w:ascii="宋体" w:hAnsi="宋体" w:cs="宋体"/>
                <w:sz w:val="28"/>
                <w:szCs w:val="28"/>
              </w:rPr>
            </w:pPr>
          </w:p>
        </w:tc>
        <w:tc>
          <w:tcPr>
            <w:tcW w:w="2355" w:type="dxa"/>
            <w:shd w:val="clear" w:color="auto" w:fill="auto"/>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shd w:val="clear" w:color="auto" w:fill="auto"/>
            <w:vAlign w:val="center"/>
          </w:tcPr>
          <w:p>
            <w:pPr>
              <w:numPr>
                <w:ilvl w:val="0"/>
                <w:numId w:val="4"/>
              </w:numPr>
              <w:jc w:val="center"/>
              <w:rPr>
                <w:rFonts w:ascii="宋体" w:hAnsi="宋体" w:cs="宋体"/>
                <w:sz w:val="28"/>
                <w:szCs w:val="28"/>
              </w:rPr>
            </w:pPr>
          </w:p>
        </w:tc>
        <w:tc>
          <w:tcPr>
            <w:tcW w:w="4935" w:type="dxa"/>
            <w:shd w:val="clear" w:color="auto" w:fill="auto"/>
            <w:vAlign w:val="center"/>
          </w:tcPr>
          <w:p>
            <w:pPr>
              <w:jc w:val="center"/>
              <w:rPr>
                <w:rFonts w:ascii="宋体" w:hAnsi="宋体" w:cs="宋体"/>
                <w:sz w:val="28"/>
                <w:szCs w:val="28"/>
              </w:rPr>
            </w:pPr>
          </w:p>
        </w:tc>
        <w:tc>
          <w:tcPr>
            <w:tcW w:w="3435" w:type="dxa"/>
            <w:shd w:val="clear" w:color="auto" w:fill="auto"/>
            <w:vAlign w:val="center"/>
          </w:tcPr>
          <w:p>
            <w:pPr>
              <w:jc w:val="center"/>
              <w:rPr>
                <w:rFonts w:ascii="宋体" w:hAnsi="宋体" w:cs="宋体"/>
                <w:sz w:val="28"/>
                <w:szCs w:val="28"/>
              </w:rPr>
            </w:pPr>
          </w:p>
        </w:tc>
        <w:tc>
          <w:tcPr>
            <w:tcW w:w="1304" w:type="dxa"/>
            <w:shd w:val="clear" w:color="auto" w:fill="auto"/>
            <w:vAlign w:val="center"/>
          </w:tcPr>
          <w:p>
            <w:pPr>
              <w:jc w:val="center"/>
              <w:rPr>
                <w:rFonts w:ascii="宋体" w:hAnsi="宋体" w:cs="宋体"/>
                <w:sz w:val="28"/>
                <w:szCs w:val="28"/>
              </w:rPr>
            </w:pPr>
          </w:p>
        </w:tc>
        <w:tc>
          <w:tcPr>
            <w:tcW w:w="2355" w:type="dxa"/>
            <w:shd w:val="clear" w:color="auto" w:fill="auto"/>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shd w:val="clear" w:color="auto" w:fill="auto"/>
            <w:vAlign w:val="center"/>
          </w:tcPr>
          <w:p>
            <w:pPr>
              <w:numPr>
                <w:ilvl w:val="0"/>
                <w:numId w:val="4"/>
              </w:numPr>
              <w:jc w:val="center"/>
              <w:rPr>
                <w:rFonts w:ascii="宋体" w:hAnsi="宋体" w:cs="宋体"/>
                <w:sz w:val="28"/>
                <w:szCs w:val="28"/>
              </w:rPr>
            </w:pPr>
          </w:p>
        </w:tc>
        <w:tc>
          <w:tcPr>
            <w:tcW w:w="4935" w:type="dxa"/>
            <w:shd w:val="clear" w:color="auto" w:fill="auto"/>
            <w:vAlign w:val="center"/>
          </w:tcPr>
          <w:p>
            <w:pPr>
              <w:jc w:val="center"/>
              <w:rPr>
                <w:rFonts w:ascii="宋体" w:hAnsi="宋体" w:cs="宋体"/>
                <w:sz w:val="28"/>
                <w:szCs w:val="28"/>
              </w:rPr>
            </w:pPr>
          </w:p>
        </w:tc>
        <w:tc>
          <w:tcPr>
            <w:tcW w:w="3435" w:type="dxa"/>
            <w:shd w:val="clear" w:color="auto" w:fill="auto"/>
            <w:vAlign w:val="center"/>
          </w:tcPr>
          <w:p>
            <w:pPr>
              <w:jc w:val="center"/>
              <w:rPr>
                <w:rFonts w:ascii="宋体" w:hAnsi="宋体" w:cs="宋体"/>
                <w:sz w:val="28"/>
                <w:szCs w:val="28"/>
              </w:rPr>
            </w:pPr>
          </w:p>
        </w:tc>
        <w:tc>
          <w:tcPr>
            <w:tcW w:w="1304" w:type="dxa"/>
            <w:shd w:val="clear" w:color="auto" w:fill="auto"/>
            <w:vAlign w:val="center"/>
          </w:tcPr>
          <w:p>
            <w:pPr>
              <w:jc w:val="center"/>
              <w:rPr>
                <w:rFonts w:ascii="宋体" w:hAnsi="宋体" w:cs="宋体"/>
                <w:sz w:val="28"/>
                <w:szCs w:val="28"/>
              </w:rPr>
            </w:pPr>
          </w:p>
        </w:tc>
        <w:tc>
          <w:tcPr>
            <w:tcW w:w="2355" w:type="dxa"/>
            <w:shd w:val="clear" w:color="auto" w:fill="auto"/>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5" w:type="dxa"/>
            <w:shd w:val="clear" w:color="auto" w:fill="auto"/>
            <w:vAlign w:val="center"/>
          </w:tcPr>
          <w:p>
            <w:pPr>
              <w:numPr>
                <w:ilvl w:val="0"/>
                <w:numId w:val="4"/>
              </w:numPr>
              <w:jc w:val="center"/>
              <w:rPr>
                <w:rFonts w:ascii="宋体" w:hAnsi="宋体" w:cs="宋体"/>
                <w:sz w:val="28"/>
                <w:szCs w:val="28"/>
              </w:rPr>
            </w:pPr>
          </w:p>
        </w:tc>
        <w:tc>
          <w:tcPr>
            <w:tcW w:w="4935" w:type="dxa"/>
            <w:shd w:val="clear" w:color="auto" w:fill="auto"/>
            <w:vAlign w:val="center"/>
          </w:tcPr>
          <w:p>
            <w:pPr>
              <w:jc w:val="center"/>
              <w:rPr>
                <w:rFonts w:ascii="宋体" w:hAnsi="宋体" w:cs="宋体"/>
                <w:sz w:val="28"/>
                <w:szCs w:val="28"/>
              </w:rPr>
            </w:pPr>
          </w:p>
        </w:tc>
        <w:tc>
          <w:tcPr>
            <w:tcW w:w="3435" w:type="dxa"/>
            <w:shd w:val="clear" w:color="auto" w:fill="auto"/>
            <w:vAlign w:val="center"/>
          </w:tcPr>
          <w:p>
            <w:pPr>
              <w:jc w:val="center"/>
              <w:rPr>
                <w:rFonts w:ascii="宋体" w:hAnsi="宋体" w:cs="宋体"/>
                <w:sz w:val="28"/>
                <w:szCs w:val="28"/>
              </w:rPr>
            </w:pPr>
          </w:p>
        </w:tc>
        <w:tc>
          <w:tcPr>
            <w:tcW w:w="1304" w:type="dxa"/>
            <w:shd w:val="clear" w:color="auto" w:fill="auto"/>
            <w:vAlign w:val="center"/>
          </w:tcPr>
          <w:p>
            <w:pPr>
              <w:jc w:val="center"/>
              <w:rPr>
                <w:rFonts w:ascii="宋体" w:hAnsi="宋体" w:cs="宋体"/>
                <w:sz w:val="28"/>
                <w:szCs w:val="28"/>
              </w:rPr>
            </w:pPr>
          </w:p>
        </w:tc>
        <w:tc>
          <w:tcPr>
            <w:tcW w:w="2355" w:type="dxa"/>
            <w:shd w:val="clear" w:color="auto" w:fill="auto"/>
            <w:vAlign w:val="center"/>
          </w:tcPr>
          <w:p>
            <w:pPr>
              <w:jc w:val="center"/>
              <w:rPr>
                <w:rFonts w:ascii="宋体" w:hAnsi="宋体" w:cs="宋体"/>
                <w:sz w:val="28"/>
                <w:szCs w:val="28"/>
              </w:rPr>
            </w:pPr>
          </w:p>
        </w:tc>
      </w:tr>
    </w:tbl>
    <w:p>
      <w:pPr>
        <w:rPr>
          <w:rFonts w:ascii="宋体" w:hAnsi="宋体" w:cs="宋体"/>
          <w:sz w:val="28"/>
          <w:szCs w:val="28"/>
        </w:rPr>
      </w:pPr>
    </w:p>
    <w:p>
      <w:pPr>
        <w:rPr>
          <w:rFonts w:ascii="宋体" w:hAnsi="宋体" w:cs="宋体"/>
          <w:sz w:val="28"/>
          <w:szCs w:val="28"/>
        </w:rPr>
        <w:sectPr>
          <w:pgSz w:w="16838" w:h="11906" w:orient="landscape"/>
          <w:pgMar w:top="1800" w:right="1440" w:bottom="1800" w:left="1440" w:header="851" w:footer="992" w:gutter="0"/>
          <w:cols w:space="720" w:num="1"/>
          <w:docGrid w:type="lines" w:linePitch="312" w:charSpace="0"/>
        </w:sectPr>
      </w:pPr>
    </w:p>
    <w:p>
      <w:pPr>
        <w:rPr>
          <w:rFonts w:ascii="宋体" w:hAnsi="宋体" w:cs="宋体"/>
          <w:sz w:val="28"/>
          <w:szCs w:val="28"/>
        </w:rPr>
      </w:pPr>
      <w:r>
        <w:rPr>
          <w:rFonts w:hint="eastAsia" w:ascii="宋体" w:hAnsi="宋体" w:cs="宋体"/>
          <w:sz w:val="28"/>
          <w:szCs w:val="28"/>
        </w:rPr>
        <w:t>三、技术参数附件</w:t>
      </w:r>
    </w:p>
    <w:p>
      <w:pPr>
        <w:pStyle w:val="3"/>
        <w:adjustRightInd w:val="0"/>
        <w:snapToGrid w:val="0"/>
        <w:ind w:firstLine="560"/>
        <w:rPr>
          <w:rFonts w:ascii="宋体" w:hAnsi="宋体" w:eastAsia="宋体" w:cs="宋体"/>
          <w:sz w:val="28"/>
          <w:szCs w:val="28"/>
        </w:rPr>
      </w:pPr>
    </w:p>
    <w:p>
      <w:pPr>
        <w:pStyle w:val="3"/>
        <w:adjustRightInd w:val="0"/>
        <w:snapToGrid w:val="0"/>
        <w:ind w:firstLine="560"/>
        <w:rPr>
          <w:rFonts w:ascii="宋体" w:hAnsi="宋体" w:eastAsia="宋体" w:cs="宋体"/>
          <w:sz w:val="28"/>
          <w:szCs w:val="28"/>
        </w:rPr>
      </w:pPr>
    </w:p>
    <w:p/>
    <w:p>
      <w:pPr>
        <w:pStyle w:val="3"/>
        <w:adjustRightInd w:val="0"/>
        <w:snapToGrid w:val="0"/>
        <w:ind w:firstLine="0" w:firstLineChars="0"/>
        <w:jc w:val="center"/>
        <w:rPr>
          <w:rFonts w:ascii="黑体" w:hAnsi="黑体" w:eastAsia="黑体" w:cs="黑体"/>
          <w:b/>
          <w:bCs/>
          <w:sz w:val="48"/>
          <w:szCs w:val="48"/>
        </w:rPr>
      </w:pPr>
      <w:r>
        <w:rPr>
          <w:rFonts w:hint="eastAsia" w:ascii="黑体" w:hAnsi="黑体" w:eastAsia="黑体" w:cs="黑体"/>
          <w:b/>
          <w:bCs/>
          <w:sz w:val="48"/>
          <w:szCs w:val="48"/>
        </w:rPr>
        <w:t>江西师范大学干部人事档案</w:t>
      </w:r>
    </w:p>
    <w:p>
      <w:pPr>
        <w:pStyle w:val="3"/>
        <w:adjustRightInd w:val="0"/>
        <w:snapToGrid w:val="0"/>
        <w:ind w:firstLine="0" w:firstLineChars="0"/>
        <w:jc w:val="center"/>
        <w:rPr>
          <w:rFonts w:ascii="黑体" w:hAnsi="黑体" w:eastAsia="黑体" w:cs="黑体"/>
          <w:b/>
          <w:bCs/>
          <w:sz w:val="48"/>
          <w:szCs w:val="48"/>
        </w:rPr>
      </w:pPr>
      <w:r>
        <w:rPr>
          <w:rFonts w:hint="eastAsia" w:ascii="黑体" w:hAnsi="黑体" w:eastAsia="黑体" w:cs="黑体"/>
          <w:b/>
          <w:bCs/>
          <w:sz w:val="48"/>
          <w:szCs w:val="48"/>
        </w:rPr>
        <w:t>数字化信息化建设项目招标要求</w:t>
      </w:r>
    </w:p>
    <w:p>
      <w:pPr>
        <w:rPr>
          <w:rFonts w:ascii="宋体" w:hAnsi="宋体" w:cs="宋体"/>
          <w:sz w:val="28"/>
          <w:szCs w:val="28"/>
        </w:rPr>
      </w:pPr>
      <w:r>
        <w:rPr>
          <w:rFonts w:hint="eastAsia" w:ascii="宋体" w:hAnsi="宋体" w:cs="宋体"/>
          <w:sz w:val="28"/>
          <w:szCs w:val="28"/>
        </w:rPr>
        <w:br w:type="page"/>
      </w:r>
    </w:p>
    <w:p>
      <w:pPr>
        <w:adjustRightInd w:val="0"/>
        <w:snapToGrid w:val="0"/>
        <w:spacing w:line="360" w:lineRule="auto"/>
        <w:jc w:val="left"/>
        <w:rPr>
          <w:rFonts w:ascii="宋体" w:hAnsi="宋体"/>
          <w:b/>
          <w:bCs/>
          <w:sz w:val="32"/>
          <w:szCs w:val="32"/>
        </w:rPr>
      </w:pPr>
      <w:r>
        <w:rPr>
          <w:rFonts w:hint="eastAsia" w:ascii="宋体" w:hAnsi="宋体"/>
          <w:b/>
          <w:bCs/>
          <w:sz w:val="32"/>
          <w:szCs w:val="32"/>
        </w:rPr>
        <w:t>第一部分、项目实施方式及商务需求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1、通过公开招标确定技术开发、档案数字化制作方。投标人需同时具有涉密信息系统集成资质（软件开发类）乙级及以上与国家秘密载体印制资质（涉密档案数字化加工）乙级及以上。</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2、中标人须与江西师范大学签订保密协议，保证项目实施过程的保密与安全。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3、投标人所投产品或其任何部分不得侵犯第三方厂商专利权、商标权、版权和工业设计权，所涉侵权行为由投标人负责。</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4、投标人应按照项目需求提出相应的具体进度计划安排。</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5、投标人须具备相关干部人事档案数字化信息化项目实施经验，须提供相关项目的合同复印件加以验证。</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6、投标人须根据对本项目的理解，在投标文件中明确以下内容：</w:t>
      </w:r>
    </w:p>
    <w:p>
      <w:pPr>
        <w:numPr>
          <w:ilvl w:val="0"/>
          <w:numId w:val="5"/>
        </w:numPr>
        <w:adjustRightInd w:val="0"/>
        <w:snapToGrid w:val="0"/>
        <w:spacing w:before="156" w:beforeLines="50" w:after="156" w:afterLines="50" w:line="360" w:lineRule="auto"/>
        <w:ind w:firstLine="560" w:firstLineChars="200"/>
        <w:rPr>
          <w:rFonts w:ascii="宋体" w:hAnsi="宋体"/>
          <w:sz w:val="28"/>
          <w:szCs w:val="28"/>
        </w:rPr>
      </w:pPr>
      <w:r>
        <w:rPr>
          <w:rFonts w:hint="eastAsia" w:ascii="宋体" w:hAnsi="宋体"/>
          <w:sz w:val="28"/>
          <w:szCs w:val="28"/>
        </w:rPr>
        <w:t>明确提出档案加工作业流程，图像处理方法，设备及人员配置，质量控制及差错防范措施；</w:t>
      </w:r>
    </w:p>
    <w:p>
      <w:pPr>
        <w:numPr>
          <w:ilvl w:val="0"/>
          <w:numId w:val="5"/>
        </w:numPr>
        <w:adjustRightInd w:val="0"/>
        <w:snapToGrid w:val="0"/>
        <w:spacing w:before="156" w:beforeLines="50" w:after="156" w:afterLines="50" w:line="360" w:lineRule="auto"/>
        <w:ind w:firstLine="560" w:firstLineChars="200"/>
        <w:rPr>
          <w:rFonts w:ascii="宋体" w:hAnsi="宋体"/>
          <w:sz w:val="28"/>
          <w:szCs w:val="28"/>
        </w:rPr>
      </w:pPr>
      <w:r>
        <w:rPr>
          <w:rFonts w:hint="eastAsia" w:ascii="宋体" w:hAnsi="宋体"/>
          <w:sz w:val="28"/>
          <w:szCs w:val="28"/>
        </w:rPr>
        <w:t>明确项目主管，说明主要参与人员的职责及任务，并附简历；</w:t>
      </w:r>
    </w:p>
    <w:p>
      <w:pPr>
        <w:numPr>
          <w:ilvl w:val="0"/>
          <w:numId w:val="5"/>
        </w:numPr>
        <w:adjustRightInd w:val="0"/>
        <w:snapToGrid w:val="0"/>
        <w:spacing w:line="360" w:lineRule="auto"/>
        <w:ind w:firstLine="560" w:firstLineChars="200"/>
        <w:rPr>
          <w:rFonts w:ascii="宋体" w:hAnsi="宋体"/>
          <w:sz w:val="28"/>
          <w:szCs w:val="28"/>
        </w:rPr>
      </w:pPr>
      <w:r>
        <w:rPr>
          <w:rFonts w:hint="eastAsia" w:ascii="宋体" w:hAnsi="宋体"/>
          <w:sz w:val="28"/>
          <w:szCs w:val="28"/>
        </w:rPr>
        <w:t>明确数字化加工现场的安全、保密、人员管理制度。</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7、招标人负责提供带有监控的项目实施场地及干部人事档案，并协调、监督项目实施，确保项目按合同规定要求高质量如期完成目标任务。</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8、本次档案数字化项目实施过程中所用到的各类计算机、扫描仪辅助设备、所需的系统、软件和光盘等设备，都由中标人提供，招标人只负责提供场地、需数字化处理的档案资料、水电等能源设施。</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9、投标人必须提供与所投“干部人事档案管理信息系统”相匹配的《软件著作权登记证书》或者《软件产品登记证书》（须提供证书复印件加盖原单位公章）。</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10、投标人必须提供所投“江西师范大学干部人事档案管理信息系统”终身免费技术咨询服务，以及3年的免费技术维护和软件升级服务。</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11、投标人注册资本不低于100万元人民币。</w:t>
      </w:r>
    </w:p>
    <w:p>
      <w:pPr>
        <w:adjustRightInd w:val="0"/>
        <w:snapToGrid w:val="0"/>
        <w:spacing w:before="156" w:beforeLines="50" w:after="156" w:afterLines="50" w:line="360" w:lineRule="auto"/>
        <w:ind w:firstLine="560" w:firstLineChars="200"/>
        <w:rPr>
          <w:rFonts w:ascii="宋体" w:hAnsi="宋体"/>
          <w:sz w:val="28"/>
          <w:szCs w:val="28"/>
        </w:rPr>
      </w:pPr>
      <w:r>
        <w:rPr>
          <w:rFonts w:hint="eastAsia" w:ascii="宋体" w:hAnsi="宋体"/>
          <w:sz w:val="28"/>
          <w:szCs w:val="28"/>
        </w:rPr>
        <w:t>12、</w:t>
      </w:r>
      <w:r>
        <w:rPr>
          <w:rFonts w:hint="eastAsia" w:ascii="宋体" w:hAnsi="宋体"/>
          <w:sz w:val="28"/>
          <w:szCs w:val="28"/>
          <w:lang w:eastAsia="zh-CN"/>
        </w:rPr>
        <w:t>中标人</w:t>
      </w:r>
      <w:r>
        <w:rPr>
          <w:rFonts w:hint="eastAsia" w:ascii="宋体" w:hAnsi="宋体"/>
          <w:sz w:val="28"/>
          <w:szCs w:val="28"/>
        </w:rPr>
        <w:t>必须提供本项目所投“干部人事档案管理信息系统”的售后服务承诺函。</w:t>
      </w:r>
    </w:p>
    <w:p>
      <w:pPr>
        <w:adjustRightInd w:val="0"/>
        <w:snapToGrid w:val="0"/>
        <w:spacing w:before="156" w:beforeLines="50" w:after="156" w:afterLines="50" w:line="360" w:lineRule="auto"/>
        <w:ind w:firstLine="560" w:firstLineChars="200"/>
        <w:rPr>
          <w:rFonts w:ascii="宋体" w:hAnsi="宋体"/>
          <w:sz w:val="28"/>
          <w:szCs w:val="28"/>
        </w:rPr>
      </w:pPr>
      <w:r>
        <w:rPr>
          <w:rFonts w:hint="eastAsia" w:ascii="宋体" w:hAnsi="宋体"/>
          <w:sz w:val="28"/>
          <w:szCs w:val="28"/>
        </w:rPr>
        <w:t>13、数字化加工过程需要填写档案交接登记表，详细记录每份档案交接前后的页数，以确保每份档案的完整性。</w:t>
      </w:r>
    </w:p>
    <w:p>
      <w:pPr>
        <w:adjustRightInd w:val="0"/>
        <w:snapToGrid w:val="0"/>
        <w:spacing w:before="156" w:beforeLines="50" w:after="156" w:afterLines="50" w:line="360" w:lineRule="auto"/>
        <w:ind w:firstLine="560" w:firstLineChars="200"/>
        <w:rPr>
          <w:rFonts w:ascii="宋体" w:hAnsi="宋体"/>
          <w:sz w:val="28"/>
          <w:szCs w:val="28"/>
        </w:rPr>
      </w:pPr>
      <w:r>
        <w:rPr>
          <w:rFonts w:hint="eastAsia" w:ascii="宋体" w:hAnsi="宋体"/>
          <w:sz w:val="28"/>
          <w:szCs w:val="28"/>
        </w:rPr>
        <w:t>14、中标人对所负责建库的电子影像档案数据质量问题负有重新免费补扫的责任。</w:t>
      </w:r>
    </w:p>
    <w:p>
      <w:pPr>
        <w:adjustRightInd w:val="0"/>
        <w:snapToGrid w:val="0"/>
        <w:spacing w:before="156" w:beforeLines="50" w:after="156" w:afterLines="50" w:line="360" w:lineRule="auto"/>
        <w:ind w:firstLine="560" w:firstLineChars="200"/>
        <w:rPr>
          <w:rFonts w:hint="eastAsia" w:ascii="宋体" w:hAnsi="宋体"/>
          <w:sz w:val="28"/>
          <w:szCs w:val="28"/>
        </w:rPr>
      </w:pPr>
      <w:r>
        <w:rPr>
          <w:rFonts w:hint="eastAsia" w:ascii="宋体" w:hAnsi="宋体"/>
          <w:sz w:val="28"/>
          <w:szCs w:val="28"/>
        </w:rPr>
        <w:t>15、中标人须针对招标方具体操作人员及维护人员提供现场免费培训服务，须提供详细的培训计划，免费提供操作手册。</w:t>
      </w:r>
    </w:p>
    <w:p>
      <w:pPr>
        <w:adjustRightInd w:val="0"/>
        <w:snapToGrid w:val="0"/>
        <w:spacing w:before="156" w:beforeLines="50" w:after="156" w:afterLines="50"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eastAsia="zh-CN"/>
        </w:rPr>
        <w:t>中标人</w:t>
      </w:r>
      <w:r>
        <w:rPr>
          <w:rFonts w:hint="eastAsia" w:ascii="宋体" w:hAnsi="宋体"/>
          <w:sz w:val="28"/>
          <w:szCs w:val="28"/>
        </w:rPr>
        <w:t>须提供承诺函，承诺以下安全事项：</w:t>
      </w:r>
      <w:r>
        <w:rPr>
          <w:rFonts w:hint="eastAsia" w:ascii="宋体" w:hAnsi="宋体"/>
          <w:sz w:val="28"/>
          <w:szCs w:val="28"/>
          <w:lang w:eastAsia="zh-CN"/>
        </w:rPr>
        <w:t>中标人</w:t>
      </w:r>
      <w:r>
        <w:rPr>
          <w:rFonts w:hint="eastAsia" w:ascii="宋体" w:hAnsi="宋体"/>
          <w:sz w:val="28"/>
          <w:szCs w:val="28"/>
        </w:rPr>
        <w:t>提供的系统不存在任何后门程序；供应商在保修期内，须对所投系统免费提供补丁推送服务，及时配合修复存在的系统安全漏洞。如因系统代码原因引发网络安全事件，由</w:t>
      </w:r>
      <w:r>
        <w:rPr>
          <w:rFonts w:hint="eastAsia" w:ascii="宋体" w:hAnsi="宋体"/>
          <w:sz w:val="28"/>
          <w:szCs w:val="28"/>
          <w:lang w:eastAsia="zh-CN"/>
        </w:rPr>
        <w:t>中标人</w:t>
      </w:r>
      <w:r>
        <w:rPr>
          <w:rFonts w:hint="eastAsia" w:ascii="宋体" w:hAnsi="宋体"/>
          <w:sz w:val="28"/>
          <w:szCs w:val="28"/>
        </w:rPr>
        <w:t>承担系统安全责任（响应文件中须提供加盖供应商公章的承诺函原件扫描件佐证）；否则，响应无效。</w:t>
      </w:r>
    </w:p>
    <w:p>
      <w:pPr>
        <w:adjustRightInd w:val="0"/>
        <w:snapToGrid w:val="0"/>
        <w:spacing w:before="156" w:beforeLines="50" w:after="156" w:afterLines="50"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7</w:t>
      </w:r>
      <w:r>
        <w:rPr>
          <w:rFonts w:hint="eastAsia" w:ascii="宋体" w:hAnsi="宋体"/>
          <w:sz w:val="28"/>
          <w:szCs w:val="28"/>
        </w:rPr>
        <w:t>、中标人需与招标人签订保证档案实体和档案信息安全的保密协议，不得截留和向第三方泄露所涉及的档案、资料内容、信息及最终形成的各类数据，确保档案信息的安全保密，若有违反，依据《中华人民共和国档案法》追究责任。</w:t>
      </w:r>
    </w:p>
    <w:p>
      <w:pPr>
        <w:adjustRightInd w:val="0"/>
        <w:snapToGrid w:val="0"/>
        <w:spacing w:before="156" w:beforeLines="50" w:after="156" w:afterLines="50" w:line="360" w:lineRule="auto"/>
        <w:ind w:firstLine="560" w:firstLineChars="200"/>
        <w:rPr>
          <w:rFonts w:hint="eastAsia" w:ascii="宋体" w:hAnsi="宋体"/>
          <w:sz w:val="28"/>
          <w:szCs w:val="28"/>
        </w:rPr>
      </w:pPr>
      <w:r>
        <w:rPr>
          <w:rFonts w:hint="eastAsia" w:ascii="宋体" w:hAnsi="宋体"/>
          <w:sz w:val="28"/>
          <w:szCs w:val="28"/>
          <w:lang w:val="en-US" w:eastAsia="zh-CN"/>
        </w:rPr>
        <w:t>18、</w:t>
      </w:r>
      <w:r>
        <w:rPr>
          <w:rFonts w:hint="eastAsia" w:ascii="宋体" w:hAnsi="宋体"/>
          <w:sz w:val="28"/>
          <w:szCs w:val="28"/>
        </w:rPr>
        <w:t>系统中涉及用户口令时须遵循强密码规则，密码必须8位以上且包含大小写字母、数字、特殊字符。系统登录时，须限制密码尝试错误次数。系统对互联网开放时，须采用双因素认证。</w:t>
      </w:r>
    </w:p>
    <w:p>
      <w:pPr>
        <w:adjustRightInd w:val="0"/>
        <w:snapToGrid w:val="0"/>
        <w:spacing w:before="156" w:beforeLines="50" w:after="156" w:afterLines="50" w:line="360" w:lineRule="auto"/>
        <w:ind w:firstLine="560" w:firstLineChars="200"/>
        <w:rPr>
          <w:rFonts w:hint="eastAsia" w:ascii="宋体" w:hAnsi="宋体"/>
          <w:sz w:val="28"/>
          <w:szCs w:val="28"/>
        </w:rPr>
      </w:pPr>
      <w:r>
        <w:rPr>
          <w:rFonts w:hint="eastAsia" w:ascii="宋体" w:hAnsi="宋体"/>
          <w:sz w:val="28"/>
          <w:szCs w:val="28"/>
          <w:lang w:val="en-US" w:eastAsia="zh-CN"/>
        </w:rPr>
        <w:t>19、</w:t>
      </w:r>
      <w:r>
        <w:rPr>
          <w:rFonts w:hint="eastAsia" w:ascii="宋体" w:hAnsi="宋体"/>
          <w:sz w:val="28"/>
          <w:szCs w:val="28"/>
        </w:rPr>
        <w:t>系统在设计时须同时进行系统安全设计，系统验收时要进行系统安全验收，未取得第三方机构的安全检测合格报告的不予验收。系统上线前要通过信息化办公室的业务系统上线检测，未整改到位不允许上线。</w:t>
      </w:r>
    </w:p>
    <w:p>
      <w:pPr>
        <w:adjustRightInd w:val="0"/>
        <w:snapToGrid w:val="0"/>
        <w:spacing w:before="156" w:beforeLines="50" w:after="156" w:afterLines="50" w:line="360" w:lineRule="auto"/>
        <w:ind w:firstLine="560" w:firstLineChars="200"/>
        <w:rPr>
          <w:rFonts w:hint="eastAsia" w:ascii="宋体" w:hAnsi="宋体"/>
          <w:sz w:val="28"/>
          <w:szCs w:val="28"/>
        </w:rPr>
      </w:pPr>
      <w:r>
        <w:rPr>
          <w:rFonts w:hint="eastAsia" w:ascii="宋体" w:hAnsi="宋体"/>
          <w:sz w:val="28"/>
          <w:szCs w:val="28"/>
          <w:lang w:val="en-US" w:eastAsia="zh-CN"/>
        </w:rPr>
        <w:t>20、</w:t>
      </w:r>
      <w:r>
        <w:rPr>
          <w:rFonts w:hint="eastAsia" w:ascii="宋体" w:hAnsi="宋体"/>
          <w:sz w:val="28"/>
          <w:szCs w:val="28"/>
        </w:rPr>
        <w:t>系统须独立安装部署到学校指定的服务器上，确保数据安全。</w:t>
      </w:r>
    </w:p>
    <w:p>
      <w:pPr>
        <w:adjustRightInd w:val="0"/>
        <w:snapToGrid w:val="0"/>
        <w:spacing w:before="120" w:line="360" w:lineRule="auto"/>
        <w:ind w:firstLine="560" w:firstLineChars="200"/>
        <w:rPr>
          <w:rFonts w:ascii="宋体" w:hAnsi="宋体" w:cs="宋体"/>
          <w:sz w:val="28"/>
          <w:szCs w:val="28"/>
        </w:rPr>
      </w:pPr>
    </w:p>
    <w:p>
      <w:pPr>
        <w:adjustRightInd w:val="0"/>
        <w:snapToGrid w:val="0"/>
        <w:spacing w:before="120" w:line="360" w:lineRule="auto"/>
        <w:rPr>
          <w:rFonts w:ascii="宋体" w:hAnsi="宋体" w:cs="宋体"/>
          <w:sz w:val="28"/>
          <w:szCs w:val="28"/>
        </w:rPr>
      </w:pPr>
      <w:r>
        <w:rPr>
          <w:rFonts w:hint="eastAsia" w:ascii="宋体" w:hAnsi="宋体" w:cs="宋体"/>
          <w:sz w:val="28"/>
          <w:szCs w:val="28"/>
        </w:rPr>
        <w:t>注：以上条款均为重要条款，</w:t>
      </w:r>
      <w:r>
        <w:rPr>
          <w:rFonts w:hint="eastAsia" w:ascii="宋体" w:hAnsi="宋体" w:cs="宋体"/>
          <w:spacing w:val="-99"/>
          <w:sz w:val="28"/>
          <w:szCs w:val="28"/>
        </w:rPr>
        <w:t xml:space="preserve"> </w:t>
      </w:r>
      <w:r>
        <w:rPr>
          <w:rFonts w:hint="eastAsia" w:ascii="宋体" w:hAnsi="宋体" w:cs="宋体"/>
          <w:sz w:val="28"/>
          <w:szCs w:val="28"/>
        </w:rPr>
        <w:t>投标人须完全响应，否则将以无效标处理。</w:t>
      </w:r>
    </w:p>
    <w:p>
      <w:pPr>
        <w:rPr>
          <w:rFonts w:ascii="宋体" w:hAnsi="宋体" w:cs="宋体"/>
          <w:sz w:val="28"/>
          <w:szCs w:val="28"/>
        </w:rPr>
      </w:pPr>
      <w:r>
        <w:rPr>
          <w:rFonts w:hint="eastAsia" w:ascii="宋体" w:hAnsi="宋体" w:cs="宋体"/>
          <w:sz w:val="28"/>
          <w:szCs w:val="28"/>
        </w:rPr>
        <w:br w:type="page"/>
      </w:r>
    </w:p>
    <w:p>
      <w:pPr>
        <w:adjustRightInd w:val="0"/>
        <w:snapToGrid w:val="0"/>
        <w:spacing w:before="156" w:beforeLines="50" w:after="156" w:afterLines="50" w:line="360" w:lineRule="auto"/>
        <w:rPr>
          <w:b/>
          <w:bCs/>
          <w:sz w:val="22"/>
          <w:szCs w:val="28"/>
        </w:rPr>
      </w:pPr>
      <w:r>
        <w:rPr>
          <w:rFonts w:hint="eastAsia"/>
          <w:b/>
          <w:bCs/>
          <w:sz w:val="32"/>
          <w:szCs w:val="40"/>
        </w:rPr>
        <w:t>第二部分、</w:t>
      </w:r>
      <w:r>
        <w:rPr>
          <w:rFonts w:hint="eastAsia" w:ascii="宋体" w:hAnsi="宋体" w:cs="宋体"/>
          <w:b/>
          <w:bCs/>
          <w:sz w:val="32"/>
          <w:szCs w:val="32"/>
        </w:rPr>
        <w:t>江西师范大学干部人事档案管理信息系统参数要求</w:t>
      </w:r>
    </w:p>
    <w:p>
      <w:pPr>
        <w:pStyle w:val="3"/>
        <w:adjustRightInd w:val="0"/>
        <w:snapToGrid w:val="0"/>
        <w:ind w:firstLine="560"/>
        <w:rPr>
          <w:rFonts w:ascii="宋体" w:hAnsi="宋体" w:eastAsia="宋体" w:cs="宋体"/>
          <w:sz w:val="28"/>
          <w:szCs w:val="28"/>
        </w:rPr>
      </w:pPr>
      <w:r>
        <w:rPr>
          <w:rFonts w:hint="eastAsia" w:ascii="宋体" w:hAnsi="宋体" w:eastAsia="宋体" w:cs="宋体"/>
          <w:sz w:val="28"/>
          <w:szCs w:val="28"/>
        </w:rPr>
        <w:t>根据江西师范大学具体需求，定制开发江西师范大学干部人事档案管理信息系统。该</w:t>
      </w:r>
      <w:r>
        <w:rPr>
          <w:rFonts w:hint="eastAsia" w:ascii="宋体" w:hAnsi="宋体" w:eastAsia="宋体" w:cs="宋体"/>
          <w:snapToGrid w:val="0"/>
          <w:sz w:val="28"/>
          <w:szCs w:val="28"/>
        </w:rPr>
        <w:t>系统须采用主流开发语言，</w:t>
      </w:r>
      <w:r>
        <w:rPr>
          <w:rFonts w:hint="eastAsia" w:ascii="宋体" w:hAnsi="宋体" w:eastAsia="宋体" w:cs="宋体"/>
          <w:sz w:val="28"/>
          <w:szCs w:val="28"/>
        </w:rPr>
        <w:t>功能</w:t>
      </w:r>
      <w:r>
        <w:rPr>
          <w:rFonts w:hint="eastAsia" w:ascii="宋体" w:hAnsi="宋体" w:eastAsia="宋体" w:cs="宋体"/>
          <w:snapToGrid w:val="0"/>
          <w:sz w:val="28"/>
          <w:szCs w:val="28"/>
        </w:rPr>
        <w:t>须满足干部人事档案日常工作中采集、管理、利用、配置、安全五个方面的需求。具体包含以下内容：</w:t>
      </w:r>
    </w:p>
    <w:p>
      <w:pPr>
        <w:adjustRightInd w:val="0"/>
        <w:snapToGrid w:val="0"/>
        <w:spacing w:line="360" w:lineRule="auto"/>
        <w:ind w:firstLine="560" w:firstLineChars="200"/>
        <w:rPr>
          <w:rFonts w:ascii="宋体" w:hAnsi="宋体" w:cs="宋体"/>
          <w:b/>
          <w:snapToGrid w:val="0"/>
          <w:sz w:val="28"/>
          <w:szCs w:val="28"/>
        </w:rPr>
      </w:pPr>
      <w:r>
        <w:rPr>
          <w:rFonts w:hint="eastAsia" w:ascii="宋体" w:hAnsi="宋体" w:cs="宋体"/>
          <w:b/>
          <w:snapToGrid w:val="0"/>
          <w:sz w:val="28"/>
          <w:szCs w:val="28"/>
        </w:rPr>
        <w:t>1、干部人事档案信息采集</w:t>
      </w:r>
    </w:p>
    <w:p>
      <w:pPr>
        <w:adjustRightInd w:val="0"/>
        <w:snapToGri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须要满足</w:t>
      </w:r>
      <w:r>
        <w:rPr>
          <w:rFonts w:ascii="宋体" w:hAnsi="宋体" w:cs="宋体"/>
          <w:sz w:val="28"/>
          <w:szCs w:val="28"/>
        </w:rPr>
        <w:t>GB/T 33870-2017</w:t>
      </w:r>
      <w:r>
        <w:rPr>
          <w:rFonts w:hint="eastAsia" w:ascii="宋体" w:hAnsi="宋体" w:cs="宋体"/>
          <w:snapToGrid w:val="0"/>
          <w:sz w:val="28"/>
          <w:szCs w:val="28"/>
        </w:rPr>
        <w:t>《干部人事档案数字化技术规范》的要求，具备完成干部人事档案从纸质档案转化为数字档案的全过程的功能，采集过程应该包含档案零散材料归档、目录录入、档案扫描、图像处理、高清处理、目录打印的基本采集功能，并且可以制作离线数据包，离线数据包可以用来数字档案的转递和上报，档案接收单位可以将离线数据包导入到系统中。</w:t>
      </w:r>
      <w:bookmarkStart w:id="1" w:name="_Toc469942694"/>
    </w:p>
    <w:p>
      <w:pPr>
        <w:adjustRightInd w:val="0"/>
        <w:snapToGrid w:val="0"/>
        <w:spacing w:line="360" w:lineRule="auto"/>
        <w:ind w:firstLine="560" w:firstLineChars="200"/>
        <w:rPr>
          <w:rFonts w:ascii="宋体" w:hAnsi="宋体" w:cs="宋体"/>
          <w:snapToGrid w:val="0"/>
          <w:sz w:val="28"/>
          <w:szCs w:val="28"/>
        </w:rPr>
      </w:pPr>
      <w:r>
        <w:rPr>
          <w:rFonts w:hint="eastAsia" w:ascii="宋体" w:hAnsi="宋体" w:cs="宋体"/>
          <w:b/>
          <w:snapToGrid w:val="0"/>
          <w:sz w:val="28"/>
          <w:szCs w:val="28"/>
        </w:rPr>
        <w:t>2、</w:t>
      </w:r>
      <w:r>
        <w:rPr>
          <w:rFonts w:hint="eastAsia" w:ascii="宋体" w:hAnsi="宋体" w:cs="宋体"/>
          <w:b/>
          <w:sz w:val="28"/>
          <w:szCs w:val="28"/>
        </w:rPr>
        <w:t>干部人事档案日常管理</w:t>
      </w:r>
      <w:bookmarkEnd w:id="1"/>
    </w:p>
    <w:p>
      <w:pPr>
        <w:adjustRightInd w:val="0"/>
        <w:snapToGri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须要对每份干部人事档案中的三龄两历、所属机构、人员类别、任免信息、职务变动、工资变动等信息进行采集和更新。用户可以对干部人员的调动、兼职、职务排序进行管理。系统应具有档案的转递、接收的功能，在档案接收中可以同时接收纸质档案的电子档案，具有接收、审核、入库、回执等的功能，在档案接收时可以导入数字档案离线包，在档案转递中可以打包数字档案离线包。同时，该系统应具有材料的转递、接收的功能，可接收纸质和电子档案材料，对材料接收具有补插件的功能，可以查询、接收、扫描、上传、归档、统计的插件。</w:t>
      </w:r>
    </w:p>
    <w:p>
      <w:pPr>
        <w:adjustRightInd w:val="0"/>
        <w:snapToGrid w:val="0"/>
        <w:spacing w:line="360" w:lineRule="auto"/>
        <w:ind w:firstLine="560" w:firstLineChars="200"/>
        <w:rPr>
          <w:rFonts w:ascii="宋体" w:hAnsi="宋体" w:cs="宋体"/>
          <w:b/>
          <w:sz w:val="28"/>
          <w:szCs w:val="28"/>
        </w:rPr>
      </w:pPr>
      <w:bookmarkStart w:id="2" w:name="_Toc469942695"/>
      <w:r>
        <w:rPr>
          <w:rFonts w:hint="eastAsia" w:ascii="宋体" w:hAnsi="宋体" w:cs="宋体"/>
          <w:b/>
          <w:sz w:val="28"/>
          <w:szCs w:val="28"/>
        </w:rPr>
        <w:t>3、干部人事档案利用</w:t>
      </w:r>
      <w:bookmarkEnd w:id="2"/>
    </w:p>
    <w:p>
      <w:pPr>
        <w:adjustRightInd w:val="0"/>
        <w:snapToGri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干部人事档案的查询利用须要同时满足纸质档案和电子档案的借阅，纸质档案的流程和权限等同于电子档案。角色需要划分为审批人员、职能部门领导、职能部门人员、领导四个角色，不同角色赋予不同权限。即：审批人员可以查看权限范围内的档案，并且可以审批其它角色提交的查档申请，职能部门领导可以申请查阅档案，并且可以审批业务处人员的申请，职能部门人员只可以申请查阅档案，经过职能部门领导和审批人员批准后方可查阅，领导是可以查阅权限范围内的档案。</w:t>
      </w:r>
    </w:p>
    <w:p>
      <w:pPr>
        <w:adjustRightInd w:val="0"/>
        <w:snapToGri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在权限范围内，用户可以使用网页在登录后查看和打印档案，审批人员可以制作档案副本，可以查看查阅日志和打印日志。</w:t>
      </w:r>
    </w:p>
    <w:p>
      <w:pPr>
        <w:adjustRightInd w:val="0"/>
        <w:snapToGrid w:val="0"/>
        <w:spacing w:line="360" w:lineRule="auto"/>
        <w:ind w:firstLine="560" w:firstLineChars="200"/>
        <w:rPr>
          <w:rFonts w:ascii="宋体" w:hAnsi="宋体" w:cs="宋体"/>
          <w:b/>
          <w:sz w:val="28"/>
          <w:szCs w:val="28"/>
        </w:rPr>
      </w:pPr>
      <w:bookmarkStart w:id="3" w:name="_Toc469942697"/>
      <w:r>
        <w:rPr>
          <w:rFonts w:hint="eastAsia" w:ascii="宋体" w:hAnsi="宋体" w:cs="宋体"/>
          <w:b/>
          <w:sz w:val="28"/>
          <w:szCs w:val="28"/>
        </w:rPr>
        <w:t>4、干部人事档案配置管理</w:t>
      </w:r>
      <w:bookmarkEnd w:id="3"/>
    </w:p>
    <w:p>
      <w:pPr>
        <w:adjustRightInd w:val="0"/>
        <w:snapToGri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系统配置中需要对用户权限、数据交换标准以及常用参数进行配置。用户权限中需要实现根据角色进行功能权限和数据权限的分配，满足系统用户权限的灵活定义。数据交换中需要明确数据迁移和数据接口的标准规范，保障数据顺利的迁移。还需考虑常用的参数进行灵活配置，如常用代码项及参数，提高系统的灵活性。由于系统数据存储的是电子档案数据，需要在系统中设置回收站功能，能够保障误操作时，能够及时找回误删除的数据，满足系统人性化设计要求。</w:t>
      </w:r>
    </w:p>
    <w:p>
      <w:pPr>
        <w:adjustRightInd w:val="0"/>
        <w:snapToGrid w:val="0"/>
        <w:spacing w:line="360" w:lineRule="auto"/>
        <w:ind w:firstLine="560" w:firstLineChars="200"/>
        <w:rPr>
          <w:rFonts w:ascii="宋体" w:hAnsi="宋体" w:cs="宋体"/>
          <w:b/>
          <w:sz w:val="28"/>
          <w:szCs w:val="28"/>
        </w:rPr>
      </w:pPr>
      <w:bookmarkStart w:id="4" w:name="_Toc469942698"/>
      <w:r>
        <w:rPr>
          <w:rFonts w:hint="eastAsia" w:ascii="宋体" w:hAnsi="宋体" w:cs="宋体"/>
          <w:b/>
          <w:sz w:val="28"/>
          <w:szCs w:val="28"/>
        </w:rPr>
        <w:t>5、干部人事档案安全控制</w:t>
      </w:r>
      <w:bookmarkEnd w:id="4"/>
    </w:p>
    <w:p>
      <w:pPr>
        <w:adjustRightInd w:val="0"/>
        <w:snapToGri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该系统须依照国家保密局发布的BMB20-2007《涉及国家秘密的信息系统分级保护管理规范》要求，需采用三员分立原则进行系统安全管理设计，设置了系统管理员、安全保密管理员和安全审计管理员，并且安全保密管理员与安全审计员必须非同一个人。三个角色相互独立，各行其责，相互制约。一个用户最多拥有这三个角色之一，每个角色只能执行相应的管理与维护任务，确保档案管理权限的合理分配和使用，避免超级管理员权限的滥用。</w:t>
      </w:r>
    </w:p>
    <w:p>
      <w:pPr>
        <w:adjustRightInd w:val="0"/>
        <w:snapToGrid w:val="0"/>
        <w:spacing w:line="360" w:lineRule="auto"/>
        <w:ind w:firstLine="560" w:firstLineChars="200"/>
        <w:rPr>
          <w:rFonts w:ascii="宋体" w:hAnsi="宋体" w:cs="宋体"/>
          <w:snapToGrid w:val="0"/>
          <w:sz w:val="28"/>
          <w:szCs w:val="28"/>
        </w:rPr>
      </w:pPr>
      <w:r>
        <w:rPr>
          <w:rFonts w:hint="eastAsia" w:ascii="宋体" w:hAnsi="宋体" w:cs="宋体"/>
          <w:snapToGrid w:val="0"/>
          <w:sz w:val="28"/>
          <w:szCs w:val="28"/>
        </w:rPr>
        <w:t>该系统需要满足加密传输，在传输中保证图像以加密方式传输。系统需要满足加密存储（即图像存在计算机和服务器中均以加密方式存储）。系统采用最小授权原则，用户可查看图像文件的任意部分内容。系统中需要包含密级标识，在软件界面、人员信息、档案目录、扫描件上面有密级标识。系统需要具有对扫描的数据进行完整性校验，对图像的数量是否正确进行校验的功能。系统采用在线、离线相结合备份模式，系统可以在数据进行备份出现故障时候，可以用备份的数据将系统中的数据恢复到出故障之前；也可以从离线备份光盘中恢复数据。</w:t>
      </w:r>
    </w:p>
    <w:p>
      <w:pPr>
        <w:adjustRightInd w:val="0"/>
        <w:snapToGrid w:val="0"/>
        <w:spacing w:line="360" w:lineRule="auto"/>
        <w:ind w:firstLine="560" w:firstLineChars="200"/>
        <w:rPr>
          <w:rFonts w:ascii="宋体" w:hAnsi="宋体" w:cs="宋体"/>
          <w:b/>
          <w:sz w:val="28"/>
          <w:szCs w:val="28"/>
        </w:rPr>
      </w:pPr>
      <w:r>
        <w:rPr>
          <w:rFonts w:hint="eastAsia" w:ascii="宋体" w:hAnsi="宋体" w:cs="宋体"/>
          <w:b/>
          <w:sz w:val="28"/>
          <w:szCs w:val="28"/>
        </w:rPr>
        <w:t>该系统软件包含四大功能模块</w:t>
      </w:r>
    </w:p>
    <w:tbl>
      <w:tblPr>
        <w:tblStyle w:val="19"/>
        <w:tblW w:w="90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5"/>
        <w:gridCol w:w="1185"/>
        <w:gridCol w:w="73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9054" w:type="dxa"/>
            <w:gridSpan w:val="3"/>
            <w:tcBorders>
              <w:bottom w:val="single" w:color="auto" w:sz="6" w:space="0"/>
            </w:tcBorders>
            <w:vAlign w:val="center"/>
          </w:tcPr>
          <w:p>
            <w:pPr>
              <w:adjustRightInd w:val="0"/>
              <w:snapToGrid w:val="0"/>
              <w:spacing w:line="360" w:lineRule="auto"/>
              <w:rPr>
                <w:rFonts w:ascii="宋体" w:hAnsi="宋体" w:cs="宋体"/>
                <w:bCs/>
                <w:sz w:val="24"/>
              </w:rPr>
            </w:pPr>
            <w:r>
              <w:rPr>
                <w:rFonts w:hint="eastAsia" w:ascii="宋体" w:hAnsi="宋体" w:cs="宋体"/>
                <w:bCs/>
                <w:sz w:val="24"/>
              </w:rPr>
              <w:t>对应模块功能及其技术要求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85" w:type="dxa"/>
            <w:tcBorders>
              <w:top w:val="single" w:color="auto" w:sz="6"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1</w:t>
            </w:r>
          </w:p>
        </w:tc>
        <w:tc>
          <w:tcPr>
            <w:tcW w:w="1185" w:type="dxa"/>
            <w:tcBorders>
              <w:top w:val="single" w:color="auto" w:sz="6"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干部档案采集系统</w:t>
            </w:r>
          </w:p>
        </w:tc>
        <w:tc>
          <w:tcPr>
            <w:tcW w:w="7384" w:type="dxa"/>
            <w:tcBorders>
              <w:top w:val="single" w:color="auto" w:sz="6" w:space="0"/>
            </w:tcBorders>
            <w:vAlign w:val="center"/>
          </w:tcPr>
          <w:p>
            <w:pPr>
              <w:adjustRightInd w:val="0"/>
              <w:snapToGrid w:val="0"/>
              <w:spacing w:line="360" w:lineRule="auto"/>
              <w:rPr>
                <w:rFonts w:ascii="宋体" w:hAnsi="宋体" w:cs="宋体"/>
                <w:sz w:val="24"/>
              </w:rPr>
            </w:pPr>
            <w:r>
              <w:rPr>
                <w:rFonts w:hint="eastAsia" w:ascii="宋体" w:hAnsi="宋体" w:cs="宋体"/>
                <w:sz w:val="24"/>
              </w:rPr>
              <w:t>干部数字档案基本信息表维护、干部档案目录维护、档案数字化扫描、数字图像高清转换、数字档案图像处理、干部档案审核、数字档案光盘制作、档案审核反馈意见维护管理。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jc w:val="center"/>
        </w:trPr>
        <w:tc>
          <w:tcPr>
            <w:tcW w:w="485" w:type="dxa"/>
            <w:tcBorders>
              <w:top w:val="single" w:color="auto" w:sz="6"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2</w:t>
            </w:r>
          </w:p>
        </w:tc>
        <w:tc>
          <w:tcPr>
            <w:tcW w:w="1185" w:type="dxa"/>
            <w:tcBorders>
              <w:top w:val="single" w:color="auto" w:sz="6"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干部档案管理系统</w:t>
            </w:r>
          </w:p>
        </w:tc>
        <w:tc>
          <w:tcPr>
            <w:tcW w:w="7384" w:type="dxa"/>
            <w:tcBorders>
              <w:top w:val="single" w:color="auto" w:sz="6" w:space="0"/>
            </w:tcBorders>
            <w:vAlign w:val="center"/>
          </w:tcPr>
          <w:p>
            <w:pPr>
              <w:adjustRightInd w:val="0"/>
              <w:snapToGrid w:val="0"/>
              <w:spacing w:line="360" w:lineRule="auto"/>
              <w:rPr>
                <w:rFonts w:ascii="宋体" w:hAnsi="宋体" w:cs="宋体"/>
                <w:sz w:val="24"/>
              </w:rPr>
            </w:pPr>
            <w:r>
              <w:rPr>
                <w:rFonts w:hint="eastAsia" w:ascii="宋体" w:hAnsi="宋体" w:cs="宋体"/>
                <w:sz w:val="24"/>
              </w:rPr>
              <w:t>日常管理：整卷浏览、简单查询、查借阅统计、档案接收、档案入库、档案转递、材料接收、材料转出、人员调动、用户权限管理和日志管理；</w:t>
            </w:r>
          </w:p>
          <w:p>
            <w:pPr>
              <w:adjustRightInd w:val="0"/>
              <w:snapToGrid w:val="0"/>
              <w:spacing w:line="360" w:lineRule="auto"/>
              <w:rPr>
                <w:rFonts w:ascii="宋体" w:hAnsi="宋体" w:cs="宋体"/>
                <w:sz w:val="24"/>
              </w:rPr>
            </w:pPr>
            <w:r>
              <w:rPr>
                <w:rFonts w:hint="eastAsia" w:ascii="宋体" w:hAnsi="宋体" w:cs="宋体"/>
                <w:sz w:val="24"/>
              </w:rPr>
              <w:t>报表打印：干部档案目录、干部档案背脊、干部档案数字评分表、干部数字档案报送单、干部档案花名册、提供自定义报表功能；</w:t>
            </w:r>
          </w:p>
          <w:p>
            <w:pPr>
              <w:adjustRightInd w:val="0"/>
              <w:snapToGrid w:val="0"/>
              <w:spacing w:line="360" w:lineRule="auto"/>
              <w:rPr>
                <w:rFonts w:ascii="宋体" w:hAnsi="宋体" w:cs="宋体"/>
                <w:sz w:val="24"/>
              </w:rPr>
            </w:pPr>
            <w:r>
              <w:rPr>
                <w:rFonts w:hint="eastAsia" w:ascii="宋体" w:hAnsi="宋体" w:cs="宋体"/>
                <w:sz w:val="24"/>
              </w:rPr>
              <w:t>数据交换：接收干部数字档案采集软件数据、数据导入导出功能；</w:t>
            </w:r>
          </w:p>
          <w:p>
            <w:pPr>
              <w:adjustRightInd w:val="0"/>
              <w:snapToGrid w:val="0"/>
              <w:spacing w:line="360" w:lineRule="auto"/>
              <w:rPr>
                <w:rFonts w:ascii="宋体" w:hAnsi="宋体" w:cs="宋体"/>
                <w:sz w:val="24"/>
              </w:rPr>
            </w:pPr>
            <w:r>
              <w:rPr>
                <w:rFonts w:hint="eastAsia" w:ascii="宋体" w:hAnsi="宋体" w:cs="宋体"/>
                <w:sz w:val="24"/>
              </w:rPr>
              <w:t>数据对接：</w:t>
            </w:r>
            <w:r>
              <w:rPr>
                <w:rFonts w:hint="eastAsia" w:ascii="宋体" w:hAnsi="宋体" w:cs="宋体"/>
                <w:b/>
                <w:sz w:val="24"/>
              </w:rPr>
              <w:t>提供与省委组织部干部管理信息系统数据对接</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系统维护：组织机构维护、添加/删除人员、代码维护、系统参数设置、系统原文服务器、数据备份恢复。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85" w:type="dxa"/>
            <w:tcBorders>
              <w:top w:val="single" w:color="auto" w:sz="6"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3</w:t>
            </w:r>
          </w:p>
        </w:tc>
        <w:tc>
          <w:tcPr>
            <w:tcW w:w="1185" w:type="dxa"/>
            <w:tcBorders>
              <w:top w:val="single" w:color="auto" w:sz="6"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干部档案利用系统</w:t>
            </w:r>
          </w:p>
        </w:tc>
        <w:tc>
          <w:tcPr>
            <w:tcW w:w="7384" w:type="dxa"/>
            <w:tcBorders>
              <w:top w:val="single" w:color="auto" w:sz="6" w:space="0"/>
            </w:tcBorders>
            <w:vAlign w:val="center"/>
          </w:tcPr>
          <w:p>
            <w:pPr>
              <w:adjustRightInd w:val="0"/>
              <w:snapToGrid w:val="0"/>
              <w:spacing w:line="360" w:lineRule="auto"/>
              <w:rPr>
                <w:rFonts w:ascii="宋体" w:hAnsi="宋体" w:cs="宋体"/>
                <w:color w:val="FF0000"/>
                <w:sz w:val="24"/>
              </w:rPr>
            </w:pPr>
            <w:bookmarkStart w:id="5" w:name="OLE_LINK1"/>
            <w:r>
              <w:rPr>
                <w:rFonts w:hint="eastAsia" w:ascii="宋体" w:hAnsi="宋体" w:cs="宋体"/>
                <w:sz w:val="24"/>
              </w:rPr>
              <w:t>数字档案在</w:t>
            </w:r>
            <w:r>
              <w:rPr>
                <w:rFonts w:hint="eastAsia" w:ascii="宋体" w:hAnsi="宋体" w:cs="宋体"/>
                <w:b/>
                <w:bCs/>
                <w:sz w:val="24"/>
              </w:rPr>
              <w:t>局域网</w:t>
            </w:r>
            <w:r>
              <w:rPr>
                <w:rFonts w:hint="eastAsia" w:ascii="宋体" w:hAnsi="宋体" w:cs="宋体"/>
                <w:sz w:val="24"/>
              </w:rPr>
              <w:t>内可查借阅申请、审批、回复、按组织机构或人员拼音查询、档案目录及原件浏览、原件打印功能、数字档案利用意见反馈表、档案查借阅日志及审计功能、数字档案统计及编研功能。</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85" w:type="dxa"/>
            <w:tcBorders>
              <w:top w:val="single" w:color="auto" w:sz="6" w:space="0"/>
            </w:tcBorders>
            <w:noWrap/>
            <w:vAlign w:val="center"/>
          </w:tcPr>
          <w:p>
            <w:pPr>
              <w:adjustRightInd w:val="0"/>
              <w:snapToGrid w:val="0"/>
              <w:spacing w:line="360" w:lineRule="auto"/>
              <w:jc w:val="center"/>
              <w:rPr>
                <w:rFonts w:ascii="宋体" w:hAnsi="宋体" w:cs="宋体"/>
                <w:sz w:val="24"/>
              </w:rPr>
            </w:pPr>
            <w:r>
              <w:rPr>
                <w:rFonts w:hint="eastAsia" w:ascii="宋体" w:hAnsi="宋体" w:cs="宋体"/>
                <w:sz w:val="24"/>
              </w:rPr>
              <w:t>4</w:t>
            </w:r>
          </w:p>
        </w:tc>
        <w:tc>
          <w:tcPr>
            <w:tcW w:w="1185" w:type="dxa"/>
            <w:tcBorders>
              <w:top w:val="single" w:color="auto" w:sz="6" w:space="0"/>
            </w:tcBorders>
            <w:noWrap/>
            <w:vAlign w:val="center"/>
          </w:tcPr>
          <w:p>
            <w:pPr>
              <w:adjustRightInd w:val="0"/>
              <w:snapToGrid w:val="0"/>
              <w:spacing w:line="360" w:lineRule="auto"/>
              <w:jc w:val="center"/>
              <w:rPr>
                <w:rFonts w:ascii="宋体" w:hAnsi="宋体" w:cs="宋体"/>
                <w:sz w:val="24"/>
              </w:rPr>
            </w:pPr>
            <w:bookmarkStart w:id="6" w:name="OLE_LINK2"/>
            <w:r>
              <w:rPr>
                <w:rFonts w:hint="eastAsia" w:ascii="宋体" w:hAnsi="宋体" w:cs="宋体"/>
                <w:sz w:val="24"/>
              </w:rPr>
              <w:t>干部档案安全控制系统</w:t>
            </w:r>
            <w:bookmarkEnd w:id="6"/>
          </w:p>
        </w:tc>
        <w:tc>
          <w:tcPr>
            <w:tcW w:w="7384" w:type="dxa"/>
            <w:tcBorders>
              <w:top w:val="single" w:color="auto" w:sz="6" w:space="0"/>
            </w:tcBorders>
            <w:vAlign w:val="center"/>
          </w:tcPr>
          <w:p>
            <w:pPr>
              <w:adjustRightInd w:val="0"/>
              <w:snapToGrid w:val="0"/>
              <w:spacing w:line="360" w:lineRule="auto"/>
              <w:rPr>
                <w:rFonts w:ascii="宋体" w:hAnsi="宋体" w:cs="宋体"/>
                <w:sz w:val="24"/>
              </w:rPr>
            </w:pPr>
            <w:r>
              <w:rPr>
                <w:rFonts w:hint="eastAsia" w:ascii="宋体" w:hAnsi="宋体" w:cs="宋体"/>
                <w:sz w:val="24"/>
              </w:rPr>
              <w:t>业务统计、库存统计、后台数据库扩展、触摸屏功能、查询端程序、分区域授权、MAC地址。</w:t>
            </w:r>
          </w:p>
        </w:tc>
      </w:tr>
    </w:tbl>
    <w:p>
      <w:pPr>
        <w:adjustRightInd w:val="0"/>
        <w:snapToGrid w:val="0"/>
        <w:spacing w:line="360" w:lineRule="auto"/>
        <w:rPr>
          <w:rFonts w:ascii="宋体" w:hAnsi="宋体" w:cs="宋体"/>
          <w:b/>
          <w:sz w:val="32"/>
          <w:szCs w:val="32"/>
        </w:rPr>
      </w:pPr>
      <w:r>
        <w:rPr>
          <w:rFonts w:hint="eastAsia" w:ascii="宋体" w:hAnsi="宋体" w:cs="宋体"/>
          <w:b/>
          <w:sz w:val="32"/>
          <w:szCs w:val="32"/>
        </w:rPr>
        <w:t>第三部分、档案数字化制作要求</w:t>
      </w:r>
    </w:p>
    <w:p>
      <w:pPr>
        <w:adjustRightInd w:val="0"/>
        <w:snapToGrid w:val="0"/>
        <w:spacing w:line="360" w:lineRule="auto"/>
        <w:ind w:firstLine="560" w:firstLineChars="200"/>
        <w:rPr>
          <w:rFonts w:ascii="宋体" w:hAnsi="宋体" w:cs="宋体"/>
          <w:bCs/>
          <w:sz w:val="28"/>
          <w:szCs w:val="28"/>
        </w:rPr>
      </w:pPr>
      <w:r>
        <w:rPr>
          <w:rFonts w:hint="eastAsia" w:ascii="宋体" w:hAnsi="宋体" w:cs="宋体"/>
          <w:bCs/>
          <w:sz w:val="28"/>
          <w:szCs w:val="28"/>
        </w:rPr>
        <w:t>在档案数字化制作过程中，制作方需要达到以下要求：</w:t>
      </w:r>
    </w:p>
    <w:p>
      <w:pPr>
        <w:adjustRightInd w:val="0"/>
        <w:snapToGrid w:val="0"/>
        <w:spacing w:line="360" w:lineRule="auto"/>
        <w:ind w:firstLine="560" w:firstLineChars="200"/>
        <w:rPr>
          <w:rFonts w:ascii="宋体" w:hAnsi="宋体" w:cs="宋体"/>
          <w:b/>
          <w:sz w:val="28"/>
          <w:szCs w:val="28"/>
        </w:rPr>
      </w:pPr>
      <w:r>
        <w:rPr>
          <w:rFonts w:hint="eastAsia" w:ascii="宋体" w:hAnsi="宋体" w:cs="宋体"/>
          <w:b/>
          <w:sz w:val="28"/>
          <w:szCs w:val="28"/>
        </w:rPr>
        <w:t xml:space="preserve">（一）档案扫描 </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严格按照《干部人事档案数字化技术规范》要求，对每份人事档案的所有材料，须按十大类分类、排序，采用平板扫描方式、真彩色24位RGB模式、300dpi分辨率进行扫描操作；扫描时档案摆放与扫描仪四角平行，不得损坏纸质档案。分类排序标准按照中共中央组织部中组发[2009]12号《干部人事档案材料收集归档规定》、组通字[2017]25号《关于完善干部人事档案材料的通知》及组通字[1991]11号《干部档案整理工作细则》等相关规范要求进行。</w:t>
      </w:r>
    </w:p>
    <w:p>
      <w:pPr>
        <w:adjustRightInd w:val="0"/>
        <w:snapToGrid w:val="0"/>
        <w:spacing w:line="360" w:lineRule="auto"/>
        <w:ind w:firstLine="560" w:firstLineChars="200"/>
        <w:rPr>
          <w:rFonts w:ascii="宋体" w:hAnsi="宋体" w:cs="宋体"/>
          <w:sz w:val="28"/>
          <w:szCs w:val="28"/>
        </w:rPr>
      </w:pPr>
      <w:r>
        <w:rPr>
          <w:rFonts w:hint="eastAsia" w:ascii="宋体" w:hAnsi="宋体" w:cs="宋体"/>
          <w:b/>
          <w:sz w:val="28"/>
          <w:szCs w:val="28"/>
        </w:rPr>
        <w:t>（二）原始图像制作</w:t>
      </w:r>
      <w:r>
        <w:rPr>
          <w:rFonts w:hint="eastAsia" w:ascii="宋体" w:hAnsi="宋体" w:cs="宋体"/>
          <w:sz w:val="28"/>
          <w:szCs w:val="28"/>
        </w:rPr>
        <w:t xml:space="preserve"> </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严格按照《干部人事档案数字化技术规范》要求，对扫描后的原始图像进行纠偏、裁边、图像拼接等处理，图像的排列顺序与纸质档案排序要求一致；图像清晰，亮度适中，图像页码连续，无错页，无黑屏；图像偏斜每行首尾不超过1°。</w:t>
      </w:r>
    </w:p>
    <w:p>
      <w:pPr>
        <w:adjustRightInd w:val="0"/>
        <w:snapToGrid w:val="0"/>
        <w:spacing w:line="360" w:lineRule="auto"/>
        <w:ind w:firstLine="560" w:firstLineChars="200"/>
        <w:rPr>
          <w:rFonts w:ascii="宋体" w:hAnsi="宋体" w:cs="宋体"/>
          <w:sz w:val="28"/>
          <w:szCs w:val="28"/>
        </w:rPr>
      </w:pPr>
      <w:r>
        <w:rPr>
          <w:rFonts w:hint="eastAsia" w:ascii="宋体" w:hAnsi="宋体" w:cs="宋体"/>
          <w:b/>
          <w:sz w:val="28"/>
          <w:szCs w:val="28"/>
        </w:rPr>
        <w:t>（三）高清图像制作</w:t>
      </w:r>
      <w:r>
        <w:rPr>
          <w:rFonts w:hint="eastAsia" w:ascii="宋体" w:hAnsi="宋体" w:cs="宋体"/>
          <w:sz w:val="28"/>
          <w:szCs w:val="28"/>
        </w:rPr>
        <w:t xml:space="preserve"> </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参照《干部人事档案数字化技术规范》的处理方式和质量要求，对原始图像数据进行优化处理。优化（高清）图像的排列顺序与原始图像排序要求一致；图像去掉污斑、黑点、黑边，肉眼观看能达到清晰、平直、干净；版面要进行自动居中操作；图像同原始图像相比不能过浓或过淡，字迹清晰。</w:t>
      </w:r>
    </w:p>
    <w:p>
      <w:pPr>
        <w:adjustRightInd w:val="0"/>
        <w:snapToGrid w:val="0"/>
        <w:spacing w:line="360" w:lineRule="auto"/>
        <w:ind w:firstLine="560" w:firstLineChars="200"/>
        <w:rPr>
          <w:rFonts w:ascii="宋体" w:hAnsi="宋体" w:cs="宋体"/>
          <w:b/>
          <w:sz w:val="28"/>
          <w:szCs w:val="28"/>
        </w:rPr>
      </w:pPr>
      <w:r>
        <w:rPr>
          <w:rFonts w:hint="eastAsia" w:ascii="宋体" w:hAnsi="宋体" w:cs="宋体"/>
          <w:b/>
          <w:sz w:val="28"/>
          <w:szCs w:val="28"/>
        </w:rPr>
        <w:t>（四）数据核对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 对人员基本信息集、目录、原始图像与优化（高清）图像进行检查校对。</w:t>
      </w:r>
    </w:p>
    <w:p>
      <w:pPr>
        <w:adjustRightInd w:val="0"/>
        <w:snapToGrid w:val="0"/>
        <w:spacing w:line="360" w:lineRule="auto"/>
        <w:ind w:firstLine="560" w:firstLineChars="200"/>
        <w:rPr>
          <w:rFonts w:ascii="宋体" w:hAnsi="宋体" w:cs="宋体"/>
          <w:sz w:val="28"/>
          <w:szCs w:val="28"/>
        </w:rPr>
      </w:pPr>
      <w:r>
        <w:rPr>
          <w:rFonts w:hint="eastAsia" w:ascii="宋体" w:hAnsi="宋体" w:cs="宋体"/>
          <w:b/>
          <w:sz w:val="28"/>
          <w:szCs w:val="28"/>
        </w:rPr>
        <w:t>（五）数据备份</w:t>
      </w:r>
      <w:r>
        <w:rPr>
          <w:rFonts w:hint="eastAsia" w:ascii="宋体" w:hAnsi="宋体" w:cs="宋体"/>
          <w:sz w:val="28"/>
          <w:szCs w:val="28"/>
        </w:rPr>
        <w:t xml:space="preserve"> </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严格按照《干部人事档案数字化技术规范》要求，对数字档案提供在线和离线数据备份服务。</w:t>
      </w:r>
    </w:p>
    <w:p>
      <w:pPr>
        <w:adjustRightInd w:val="0"/>
        <w:snapToGrid w:val="0"/>
        <w:spacing w:line="360" w:lineRule="auto"/>
        <w:ind w:firstLine="560" w:firstLineChars="200"/>
        <w:rPr>
          <w:rFonts w:ascii="宋体" w:hAnsi="宋体" w:cs="宋体"/>
          <w:b/>
          <w:sz w:val="28"/>
          <w:szCs w:val="28"/>
        </w:rPr>
      </w:pPr>
      <w:r>
        <w:rPr>
          <w:rFonts w:hint="eastAsia" w:ascii="宋体" w:hAnsi="宋体" w:cs="宋体"/>
          <w:b/>
          <w:sz w:val="28"/>
          <w:szCs w:val="28"/>
        </w:rPr>
        <w:t>为确保纸质材料的完整及安全，制作方需要达到以下要求：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b/>
          <w:sz w:val="28"/>
          <w:szCs w:val="28"/>
        </w:rPr>
        <w:t xml:space="preserve">（一）档案排序正确 </w:t>
      </w:r>
      <w:r>
        <w:rPr>
          <w:rFonts w:hint="eastAsia" w:ascii="宋体" w:hAnsi="宋体" w:cs="宋体"/>
          <w:sz w:val="28"/>
          <w:szCs w:val="28"/>
        </w:rPr>
        <w:t xml:space="preserve"> </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严格把关每份档案材料的类号、页码编注标准；档案材料排序正确。</w:t>
      </w:r>
    </w:p>
    <w:p>
      <w:pPr>
        <w:adjustRightInd w:val="0"/>
        <w:snapToGrid w:val="0"/>
        <w:spacing w:line="360" w:lineRule="auto"/>
        <w:ind w:firstLine="560" w:firstLineChars="200"/>
        <w:rPr>
          <w:rFonts w:ascii="宋体" w:hAnsi="宋体" w:cs="宋体"/>
          <w:b/>
          <w:sz w:val="28"/>
          <w:szCs w:val="28"/>
        </w:rPr>
      </w:pPr>
      <w:r>
        <w:rPr>
          <w:rFonts w:hint="eastAsia" w:ascii="宋体" w:hAnsi="宋体" w:cs="宋体"/>
          <w:b/>
          <w:sz w:val="28"/>
          <w:szCs w:val="28"/>
        </w:rPr>
        <w:t>（二）目录录入无误</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 严格准确地进行档案目录录入，具体标准如下：逐份录入，不多录、少录；录入目录内容与档案内容完全一致，不错录。</w:t>
      </w:r>
    </w:p>
    <w:p>
      <w:pPr>
        <w:adjustRightInd w:val="0"/>
        <w:snapToGrid w:val="0"/>
        <w:spacing w:line="360" w:lineRule="auto"/>
        <w:ind w:firstLine="560" w:firstLineChars="200"/>
        <w:rPr>
          <w:rFonts w:ascii="宋体" w:hAnsi="宋体" w:cs="宋体"/>
          <w:sz w:val="28"/>
          <w:szCs w:val="28"/>
        </w:rPr>
      </w:pPr>
      <w:r>
        <w:rPr>
          <w:rFonts w:hint="eastAsia" w:ascii="宋体" w:hAnsi="宋体" w:cs="宋体"/>
          <w:b/>
          <w:sz w:val="28"/>
          <w:szCs w:val="28"/>
        </w:rPr>
        <w:t>（三）打印装订规范</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严格按照《干部档案整理工作细则》要求进行打印干部档案目录和装订工作，做到下边与左边齐整。</w:t>
      </w:r>
    </w:p>
    <w:p>
      <w:pPr>
        <w:adjustRightInd w:val="0"/>
        <w:snapToGrid w:val="0"/>
        <w:spacing w:line="360" w:lineRule="auto"/>
        <w:ind w:firstLine="560" w:firstLineChars="200"/>
        <w:rPr>
          <w:rFonts w:ascii="宋体" w:hAnsi="宋体" w:cs="宋体"/>
          <w:b/>
          <w:sz w:val="28"/>
          <w:szCs w:val="28"/>
        </w:rPr>
      </w:pPr>
      <w:r>
        <w:rPr>
          <w:rFonts w:hint="eastAsia" w:ascii="宋体" w:hAnsi="宋体" w:cs="宋体"/>
          <w:b/>
          <w:sz w:val="28"/>
          <w:szCs w:val="28"/>
        </w:rPr>
        <w:t>（四）档案裱糊整齐</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根据《干部人事档案材料收集归档规定》文件，进行裱糊工作，做到下边与左边齐整。</w:t>
      </w:r>
    </w:p>
    <w:p>
      <w:pPr>
        <w:adjustRightInd w:val="0"/>
        <w:snapToGrid w:val="0"/>
        <w:spacing w:line="360" w:lineRule="auto"/>
        <w:ind w:firstLine="560" w:firstLineChars="200"/>
        <w:rPr>
          <w:rFonts w:ascii="宋体" w:hAnsi="宋体" w:cs="宋体"/>
          <w:b/>
          <w:sz w:val="28"/>
          <w:szCs w:val="28"/>
        </w:rPr>
      </w:pPr>
      <w:r>
        <w:rPr>
          <w:rFonts w:hint="eastAsia" w:ascii="宋体" w:hAnsi="宋体" w:cs="宋体"/>
          <w:b/>
          <w:sz w:val="28"/>
          <w:szCs w:val="28"/>
        </w:rPr>
        <w:t>（五）档案装盒移交</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将完成扫描后的纸质档案材料和目录装入干部人事档案卷盒（A4型）中；确保目录和档案材料完全一致移交。</w:t>
      </w:r>
    </w:p>
    <w:p>
      <w:r>
        <w:br w:type="page"/>
      </w:r>
    </w:p>
    <w:p>
      <w:pPr>
        <w:numPr>
          <w:ilvl w:val="0"/>
          <w:numId w:val="6"/>
        </w:numPr>
        <w:adjustRightInd w:val="0"/>
        <w:snapToGrid w:val="0"/>
        <w:spacing w:line="360" w:lineRule="auto"/>
        <w:rPr>
          <w:rFonts w:ascii="宋体" w:hAnsi="宋体" w:cs="宋体"/>
          <w:b/>
          <w:sz w:val="32"/>
          <w:szCs w:val="32"/>
        </w:rPr>
      </w:pPr>
      <w:r>
        <w:rPr>
          <w:rFonts w:hint="eastAsia" w:ascii="宋体" w:hAnsi="宋体" w:cs="宋体"/>
          <w:b/>
          <w:sz w:val="32"/>
          <w:szCs w:val="32"/>
        </w:rPr>
        <w:t>配套硬件设备及耗材指标参数</w:t>
      </w:r>
    </w:p>
    <w:tbl>
      <w:tblPr>
        <w:tblStyle w:val="19"/>
        <w:tblW w:w="4999" w:type="pct"/>
        <w:jc w:val="center"/>
        <w:tblLayout w:type="autofit"/>
        <w:tblCellMar>
          <w:top w:w="0" w:type="dxa"/>
          <w:left w:w="108" w:type="dxa"/>
          <w:bottom w:w="0" w:type="dxa"/>
          <w:right w:w="108" w:type="dxa"/>
        </w:tblCellMar>
      </w:tblPr>
      <w:tblGrid>
        <w:gridCol w:w="940"/>
        <w:gridCol w:w="2393"/>
        <w:gridCol w:w="4322"/>
        <w:gridCol w:w="871"/>
      </w:tblGrid>
      <w:tr>
        <w:tblPrEx>
          <w:tblCellMar>
            <w:top w:w="0" w:type="dxa"/>
            <w:left w:w="108" w:type="dxa"/>
            <w:bottom w:w="0" w:type="dxa"/>
            <w:right w:w="108" w:type="dxa"/>
          </w:tblCellMar>
        </w:tblPrEx>
        <w:trPr>
          <w:trHeight w:val="1020" w:hRule="atLeast"/>
          <w:jc w:val="center"/>
        </w:trPr>
        <w:tc>
          <w:tcPr>
            <w:tcW w:w="1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产品或服务模块</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工作内容/设备参数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1020" w:hRule="atLeast"/>
          <w:jc w:val="center"/>
        </w:trPr>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硬件设备</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终端电脑</w:t>
            </w:r>
          </w:p>
        </w:tc>
        <w:tc>
          <w:tcPr>
            <w:tcW w:w="2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CPU：i7 10700</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内存容量：16GB</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存储空间：1TB</w:t>
            </w:r>
          </w:p>
          <w:p>
            <w:pPr>
              <w:widowControl/>
              <w:jc w:val="center"/>
              <w:textAlignment w:val="center"/>
              <w:rPr>
                <w:rFonts w:ascii="宋体" w:hAnsi="宋体" w:cs="宋体"/>
                <w:color w:val="000000"/>
                <w:sz w:val="24"/>
              </w:rPr>
            </w:pPr>
            <w:r>
              <w:rPr>
                <w:rFonts w:hint="eastAsia" w:ascii="宋体" w:hAnsi="宋体" w:cs="宋体"/>
                <w:color w:val="000000"/>
                <w:kern w:val="0"/>
                <w:sz w:val="24"/>
              </w:rPr>
              <w:t>显示器：21.5LCD</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3台</w:t>
            </w:r>
          </w:p>
        </w:tc>
      </w:tr>
      <w:tr>
        <w:tblPrEx>
          <w:tblCellMar>
            <w:top w:w="0" w:type="dxa"/>
            <w:left w:w="108" w:type="dxa"/>
            <w:bottom w:w="0" w:type="dxa"/>
            <w:right w:w="108" w:type="dxa"/>
          </w:tblCellMar>
        </w:tblPrEx>
        <w:trPr>
          <w:trHeight w:val="455"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600"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打印机</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A3、A4双面打印，黑白激光打印机</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1台</w:t>
            </w:r>
          </w:p>
        </w:tc>
      </w:tr>
      <w:tr>
        <w:tblPrEx>
          <w:tblCellMar>
            <w:top w:w="0" w:type="dxa"/>
            <w:left w:w="108" w:type="dxa"/>
            <w:bottom w:w="0" w:type="dxa"/>
            <w:right w:w="108" w:type="dxa"/>
          </w:tblCellMar>
        </w:tblPrEx>
        <w:trPr>
          <w:trHeight w:val="725"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扫描仪</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A3零边距书刊平板扫描仪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1台</w:t>
            </w:r>
          </w:p>
        </w:tc>
      </w:tr>
      <w:tr>
        <w:tblPrEx>
          <w:tblCellMar>
            <w:top w:w="0" w:type="dxa"/>
            <w:left w:w="108" w:type="dxa"/>
            <w:bottom w:w="0" w:type="dxa"/>
            <w:right w:w="108" w:type="dxa"/>
          </w:tblCellMar>
        </w:tblPrEx>
        <w:trPr>
          <w:trHeight w:val="785"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移动硬盘</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4TB 2.5英寸 US</w:t>
            </w:r>
            <w:bookmarkStart w:id="7" w:name="_GoBack"/>
            <w:bookmarkEnd w:id="7"/>
            <w:r>
              <w:rPr>
                <w:rFonts w:hint="eastAsia" w:ascii="宋体" w:hAnsi="宋体" w:cs="宋体"/>
                <w:color w:val="000000"/>
                <w:kern w:val="0"/>
                <w:sz w:val="24"/>
              </w:rPr>
              <w:t>B3.0 移动硬盘</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2台</w:t>
            </w:r>
          </w:p>
        </w:tc>
      </w:tr>
      <w:tr>
        <w:tblPrEx>
          <w:tblCellMar>
            <w:top w:w="0" w:type="dxa"/>
            <w:left w:w="108" w:type="dxa"/>
            <w:bottom w:w="0" w:type="dxa"/>
            <w:right w:w="108" w:type="dxa"/>
          </w:tblCellMar>
        </w:tblPrEx>
        <w:trPr>
          <w:trHeight w:val="755"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碎纸机</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大型高速静音办公碎纸机</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1台</w:t>
            </w:r>
          </w:p>
        </w:tc>
      </w:tr>
      <w:tr>
        <w:tblPrEx>
          <w:tblCellMar>
            <w:top w:w="0" w:type="dxa"/>
            <w:left w:w="108" w:type="dxa"/>
            <w:bottom w:w="0" w:type="dxa"/>
            <w:right w:w="108" w:type="dxa"/>
          </w:tblCellMar>
        </w:tblPrEx>
        <w:trPr>
          <w:trHeight w:val="600" w:hRule="atLeast"/>
          <w:jc w:val="center"/>
        </w:trPr>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档案加工物品</w:t>
            </w:r>
          </w:p>
        </w:tc>
        <w:tc>
          <w:tcPr>
            <w:tcW w:w="39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4尺半开宣纸</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30张</w:t>
            </w:r>
          </w:p>
        </w:tc>
      </w:tr>
      <w:tr>
        <w:tblPrEx>
          <w:tblCellMar>
            <w:top w:w="0" w:type="dxa"/>
            <w:left w:w="108" w:type="dxa"/>
            <w:bottom w:w="0" w:type="dxa"/>
            <w:right w:w="108" w:type="dxa"/>
          </w:tblCellMar>
        </w:tblPrEx>
        <w:trPr>
          <w:trHeight w:val="600"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9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A3型号透明加宽纸</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40张</w:t>
            </w:r>
          </w:p>
        </w:tc>
      </w:tr>
      <w:tr>
        <w:tblPrEx>
          <w:tblCellMar>
            <w:top w:w="0" w:type="dxa"/>
            <w:left w:w="108" w:type="dxa"/>
            <w:bottom w:w="0" w:type="dxa"/>
            <w:right w:w="108" w:type="dxa"/>
          </w:tblCellMar>
        </w:tblPrEx>
        <w:trPr>
          <w:trHeight w:val="600"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9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档案分类角标，6人/张</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600张</w:t>
            </w:r>
          </w:p>
        </w:tc>
      </w:tr>
      <w:tr>
        <w:tblPrEx>
          <w:tblCellMar>
            <w:top w:w="0" w:type="dxa"/>
            <w:left w:w="108" w:type="dxa"/>
            <w:bottom w:w="0" w:type="dxa"/>
            <w:right w:w="108" w:type="dxa"/>
          </w:tblCellMar>
        </w:tblPrEx>
        <w:trPr>
          <w:trHeight w:val="600"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9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固体胶21g,12根/盒</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145根</w:t>
            </w:r>
          </w:p>
        </w:tc>
      </w:tr>
      <w:tr>
        <w:tblPrEx>
          <w:tblCellMar>
            <w:top w:w="0" w:type="dxa"/>
            <w:left w:w="108" w:type="dxa"/>
            <w:bottom w:w="0" w:type="dxa"/>
            <w:right w:w="108" w:type="dxa"/>
          </w:tblCellMar>
        </w:tblPrEx>
        <w:trPr>
          <w:trHeight w:val="600"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9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干档专用打孔机</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1台</w:t>
            </w:r>
          </w:p>
        </w:tc>
      </w:tr>
    </w:tbl>
    <w:p>
      <w:pPr>
        <w:adjustRightInd w:val="0"/>
        <w:snapToGrid w:val="0"/>
        <w:spacing w:line="360" w:lineRule="auto"/>
        <w:ind w:firstLine="560" w:firstLineChars="200"/>
        <w:rPr>
          <w:rFonts w:ascii="宋体" w:hAnsi="宋体" w:cs="宋体"/>
          <w:bCs/>
          <w:sz w:val="28"/>
          <w:szCs w:val="28"/>
        </w:rPr>
      </w:pPr>
    </w:p>
    <w:sectPr>
      <w:headerReference r:id="rId3" w:type="default"/>
      <w:footerReference r:id="rId4"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D0A37"/>
    <w:multiLevelType w:val="multilevel"/>
    <w:tmpl w:val="937D0A37"/>
    <w:lvl w:ilvl="0" w:tentative="0">
      <w:start w:val="1"/>
      <w:numFmt w:val="decimal"/>
      <w:pStyle w:val="2"/>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08CACEA1"/>
    <w:multiLevelType w:val="singleLevel"/>
    <w:tmpl w:val="08CACEA1"/>
    <w:lvl w:ilvl="0" w:tentative="0">
      <w:start w:val="1"/>
      <w:numFmt w:val="decimal"/>
      <w:lvlText w:val="%1."/>
      <w:lvlJc w:val="left"/>
      <w:pPr>
        <w:ind w:left="425" w:hanging="425"/>
      </w:pPr>
      <w:rPr>
        <w:rFonts w:hint="default"/>
      </w:rPr>
    </w:lvl>
  </w:abstractNum>
  <w:abstractNum w:abstractNumId="2">
    <w:nsid w:val="49D1DDFF"/>
    <w:multiLevelType w:val="singleLevel"/>
    <w:tmpl w:val="49D1DDFF"/>
    <w:lvl w:ilvl="0" w:tentative="0">
      <w:start w:val="1"/>
      <w:numFmt w:val="decimal"/>
      <w:suff w:val="nothing"/>
      <w:lvlText w:val="%1、"/>
      <w:lvlJc w:val="left"/>
      <w:rPr>
        <w:rFonts w:ascii="宋体" w:hAnsi="宋体" w:eastAsia="宋体" w:cs="宋体"/>
      </w:rPr>
    </w:lvl>
  </w:abstractNum>
  <w:abstractNum w:abstractNumId="3">
    <w:nsid w:val="5C76ADF3"/>
    <w:multiLevelType w:val="singleLevel"/>
    <w:tmpl w:val="5C76ADF3"/>
    <w:lvl w:ilvl="0" w:tentative="0">
      <w:start w:val="1"/>
      <w:numFmt w:val="chineseCounting"/>
      <w:suff w:val="nothing"/>
      <w:lvlText w:val="%1、"/>
      <w:lvlJc w:val="left"/>
      <w:rPr>
        <w:rFonts w:hint="eastAsia"/>
      </w:rPr>
    </w:lvl>
  </w:abstractNum>
  <w:abstractNum w:abstractNumId="4">
    <w:nsid w:val="5E941E6C"/>
    <w:multiLevelType w:val="singleLevel"/>
    <w:tmpl w:val="5E941E6C"/>
    <w:lvl w:ilvl="0" w:tentative="0">
      <w:start w:val="4"/>
      <w:numFmt w:val="chineseCounting"/>
      <w:suff w:val="nothing"/>
      <w:lvlText w:val="第%1部分、"/>
      <w:lvlJc w:val="left"/>
      <w:rPr>
        <w:rFonts w:hint="eastAsia"/>
      </w:rPr>
    </w:lvl>
  </w:abstractNum>
  <w:abstractNum w:abstractNumId="5">
    <w:nsid w:val="70591158"/>
    <w:multiLevelType w:val="singleLevel"/>
    <w:tmpl w:val="70591158"/>
    <w:lvl w:ilvl="0" w:tentative="0">
      <w:start w:val="1"/>
      <w:numFmt w:val="decimalEnclosedCircleChinese"/>
      <w:suff w:val="nothing"/>
      <w:lvlText w:val="%1　"/>
      <w:lvlJc w:val="left"/>
      <w:pPr>
        <w:ind w:left="0" w:firstLine="400"/>
      </w:pPr>
      <w:rPr>
        <w:rFonts w:hint="eastAsia" w:ascii="Calibri" w:hAnsi="Calibri" w:eastAsia="宋体" w:cs="Calibri"/>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zA1NjYwZjIyZDY5YTBhNTlmNWM4YTJlNzcxMTcifQ=="/>
    <w:docVar w:name="KSO_WPS_MARK_KEY" w:val="47fe7693-829f-43e9-957f-4296741b3e32"/>
  </w:docVars>
  <w:rsids>
    <w:rsidRoot w:val="00172A27"/>
    <w:rsid w:val="000418F5"/>
    <w:rsid w:val="00061174"/>
    <w:rsid w:val="00071120"/>
    <w:rsid w:val="000F1ABD"/>
    <w:rsid w:val="000F3816"/>
    <w:rsid w:val="00100E4A"/>
    <w:rsid w:val="001117B6"/>
    <w:rsid w:val="00133B79"/>
    <w:rsid w:val="00172A27"/>
    <w:rsid w:val="001E26AE"/>
    <w:rsid w:val="001E4C07"/>
    <w:rsid w:val="001F1438"/>
    <w:rsid w:val="00263F27"/>
    <w:rsid w:val="002923B1"/>
    <w:rsid w:val="00293C7F"/>
    <w:rsid w:val="002D15B1"/>
    <w:rsid w:val="002E1B41"/>
    <w:rsid w:val="00386C7C"/>
    <w:rsid w:val="00391376"/>
    <w:rsid w:val="004238F7"/>
    <w:rsid w:val="00436456"/>
    <w:rsid w:val="00455AB0"/>
    <w:rsid w:val="004B78AC"/>
    <w:rsid w:val="0053045C"/>
    <w:rsid w:val="00530ED1"/>
    <w:rsid w:val="0058371A"/>
    <w:rsid w:val="005B131A"/>
    <w:rsid w:val="00696934"/>
    <w:rsid w:val="006B170C"/>
    <w:rsid w:val="006D73C1"/>
    <w:rsid w:val="0071662F"/>
    <w:rsid w:val="007C613D"/>
    <w:rsid w:val="00800707"/>
    <w:rsid w:val="008720E1"/>
    <w:rsid w:val="008D0724"/>
    <w:rsid w:val="00900F44"/>
    <w:rsid w:val="00905051"/>
    <w:rsid w:val="00923402"/>
    <w:rsid w:val="00934196"/>
    <w:rsid w:val="009606C1"/>
    <w:rsid w:val="00984DDF"/>
    <w:rsid w:val="009B2C87"/>
    <w:rsid w:val="00A85978"/>
    <w:rsid w:val="00AF27DF"/>
    <w:rsid w:val="00B123A3"/>
    <w:rsid w:val="00B54AEB"/>
    <w:rsid w:val="00BB3A5B"/>
    <w:rsid w:val="00BD69AB"/>
    <w:rsid w:val="00C16D91"/>
    <w:rsid w:val="00C46D80"/>
    <w:rsid w:val="00CB272B"/>
    <w:rsid w:val="00CE3BFC"/>
    <w:rsid w:val="00D551CC"/>
    <w:rsid w:val="00DC799B"/>
    <w:rsid w:val="00DD6D5B"/>
    <w:rsid w:val="00E02571"/>
    <w:rsid w:val="00E30643"/>
    <w:rsid w:val="00EB64BA"/>
    <w:rsid w:val="00EC4623"/>
    <w:rsid w:val="00F31525"/>
    <w:rsid w:val="00F66E00"/>
    <w:rsid w:val="00FB0F11"/>
    <w:rsid w:val="00FB4261"/>
    <w:rsid w:val="00FE124F"/>
    <w:rsid w:val="027C5214"/>
    <w:rsid w:val="075B57ED"/>
    <w:rsid w:val="090A5D09"/>
    <w:rsid w:val="0C9A3FC7"/>
    <w:rsid w:val="0E507FE0"/>
    <w:rsid w:val="109138D3"/>
    <w:rsid w:val="120C4998"/>
    <w:rsid w:val="18552337"/>
    <w:rsid w:val="1B9A509B"/>
    <w:rsid w:val="278025DB"/>
    <w:rsid w:val="279369E7"/>
    <w:rsid w:val="296B2DA0"/>
    <w:rsid w:val="29A21154"/>
    <w:rsid w:val="29F56FD0"/>
    <w:rsid w:val="2BF135D6"/>
    <w:rsid w:val="3030721B"/>
    <w:rsid w:val="3A2C7350"/>
    <w:rsid w:val="47F2345B"/>
    <w:rsid w:val="498E0956"/>
    <w:rsid w:val="4CDB7678"/>
    <w:rsid w:val="58A45116"/>
    <w:rsid w:val="58BA613C"/>
    <w:rsid w:val="59FF340D"/>
    <w:rsid w:val="5C1E56CD"/>
    <w:rsid w:val="5C7D4F86"/>
    <w:rsid w:val="5CC47CC0"/>
    <w:rsid w:val="60AF5690"/>
    <w:rsid w:val="64565863"/>
    <w:rsid w:val="6E2119A2"/>
    <w:rsid w:val="713F0604"/>
    <w:rsid w:val="73C66DBA"/>
    <w:rsid w:val="76683158"/>
    <w:rsid w:val="77B15271"/>
    <w:rsid w:val="7F7C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21"/>
    <w:qFormat/>
    <w:uiPriority w:val="9"/>
    <w:pPr>
      <w:keepNext/>
      <w:keepLines/>
      <w:numPr>
        <w:ilvl w:val="0"/>
        <w:numId w:val="1"/>
      </w:numPr>
      <w:spacing w:beforeLines="50" w:afterLines="150" w:line="360" w:lineRule="auto"/>
      <w:ind w:firstLine="0"/>
      <w:jc w:val="center"/>
      <w:outlineLvl w:val="0"/>
    </w:pPr>
    <w:rPr>
      <w:rFonts w:ascii="黑体" w:hAnsi="黑体"/>
      <w:b/>
      <w:bCs/>
      <w:snapToGrid w:val="0"/>
      <w:kern w:val="0"/>
      <w:sz w:val="32"/>
      <w:szCs w:val="44"/>
    </w:rPr>
  </w:style>
  <w:style w:type="paragraph" w:styleId="4">
    <w:name w:val="heading 2"/>
    <w:basedOn w:val="1"/>
    <w:next w:val="1"/>
    <w:link w:val="22"/>
    <w:qFormat/>
    <w:uiPriority w:val="0"/>
    <w:pPr>
      <w:keepNext/>
      <w:keepLines/>
      <w:numPr>
        <w:ilvl w:val="1"/>
        <w:numId w:val="1"/>
      </w:numPr>
      <w:spacing w:beforeLines="100" w:afterLines="100" w:line="360" w:lineRule="auto"/>
      <w:ind w:firstLine="0"/>
      <w:jc w:val="left"/>
      <w:outlineLvl w:val="1"/>
    </w:pPr>
    <w:rPr>
      <w:rFonts w:ascii="黑体" w:hAnsi="Arial"/>
      <w:b/>
      <w:bCs/>
      <w:kern w:val="0"/>
      <w:sz w:val="30"/>
      <w:szCs w:val="32"/>
    </w:rPr>
  </w:style>
  <w:style w:type="paragraph" w:styleId="5">
    <w:name w:val="heading 3"/>
    <w:basedOn w:val="1"/>
    <w:next w:val="1"/>
    <w:link w:val="23"/>
    <w:qFormat/>
    <w:uiPriority w:val="0"/>
    <w:pPr>
      <w:keepNext/>
      <w:keepLines/>
      <w:numPr>
        <w:ilvl w:val="2"/>
        <w:numId w:val="1"/>
      </w:numPr>
      <w:spacing w:before="260" w:after="260" w:line="360" w:lineRule="auto"/>
      <w:ind w:firstLine="0"/>
      <w:jc w:val="left"/>
      <w:outlineLvl w:val="2"/>
    </w:pPr>
    <w:rPr>
      <w:rFonts w:ascii="Times New Roman" w:hAnsi="Times New Roman"/>
      <w:b/>
      <w:bCs/>
      <w:sz w:val="30"/>
      <w:szCs w:val="32"/>
    </w:rPr>
  </w:style>
  <w:style w:type="paragraph" w:styleId="6">
    <w:name w:val="heading 4"/>
    <w:basedOn w:val="1"/>
    <w:next w:val="1"/>
    <w:link w:val="24"/>
    <w:qFormat/>
    <w:uiPriority w:val="9"/>
    <w:pPr>
      <w:keepNext/>
      <w:keepLines/>
      <w:numPr>
        <w:ilvl w:val="3"/>
        <w:numId w:val="1"/>
      </w:numPr>
      <w:spacing w:beforeLines="80" w:afterLines="80" w:line="360" w:lineRule="auto"/>
      <w:ind w:firstLine="0"/>
      <w:jc w:val="left"/>
      <w:outlineLvl w:val="3"/>
    </w:pPr>
    <w:rPr>
      <w:rFonts w:ascii="黑体" w:hAnsi="Arial"/>
      <w:b/>
      <w:bCs/>
      <w:kern w:val="0"/>
      <w:sz w:val="28"/>
      <w:szCs w:val="28"/>
    </w:rPr>
  </w:style>
  <w:style w:type="paragraph" w:styleId="7">
    <w:name w:val="heading 5"/>
    <w:basedOn w:val="1"/>
    <w:next w:val="1"/>
    <w:link w:val="25"/>
    <w:qFormat/>
    <w:uiPriority w:val="0"/>
    <w:pPr>
      <w:keepNext/>
      <w:keepLines/>
      <w:numPr>
        <w:ilvl w:val="4"/>
        <w:numId w:val="1"/>
      </w:numPr>
      <w:spacing w:beforeLines="100" w:afterLines="100" w:line="360" w:lineRule="auto"/>
      <w:ind w:firstLine="0"/>
      <w:jc w:val="left"/>
      <w:outlineLvl w:val="4"/>
    </w:pPr>
    <w:rPr>
      <w:rFonts w:ascii="黑体" w:hAnsi="Times New Roman"/>
      <w:b/>
      <w:bCs/>
      <w:sz w:val="24"/>
      <w:szCs w:val="28"/>
    </w:rPr>
  </w:style>
  <w:style w:type="paragraph" w:styleId="8">
    <w:name w:val="heading 6"/>
    <w:basedOn w:val="1"/>
    <w:next w:val="1"/>
    <w:link w:val="26"/>
    <w:qFormat/>
    <w:uiPriority w:val="0"/>
    <w:pPr>
      <w:keepNext/>
      <w:keepLines/>
      <w:numPr>
        <w:ilvl w:val="5"/>
        <w:numId w:val="1"/>
      </w:numPr>
      <w:spacing w:beforeLines="100" w:afterLines="100" w:line="360" w:lineRule="auto"/>
      <w:ind w:firstLine="0"/>
      <w:jc w:val="left"/>
      <w:outlineLvl w:val="5"/>
    </w:pPr>
    <w:rPr>
      <w:rFonts w:ascii="黑体" w:hAnsi="Cambria"/>
      <w:b/>
      <w:bCs/>
      <w:sz w:val="24"/>
      <w:szCs w:val="20"/>
    </w:rPr>
  </w:style>
  <w:style w:type="paragraph" w:styleId="9">
    <w:name w:val="heading 7"/>
    <w:basedOn w:val="1"/>
    <w:next w:val="1"/>
    <w:link w:val="27"/>
    <w:qFormat/>
    <w:uiPriority w:val="0"/>
    <w:pPr>
      <w:keepNext/>
      <w:keepLines/>
      <w:numPr>
        <w:ilvl w:val="6"/>
        <w:numId w:val="1"/>
      </w:numPr>
      <w:spacing w:beforeLines="50" w:afterLines="50" w:line="360" w:lineRule="auto"/>
      <w:ind w:firstLine="0"/>
      <w:jc w:val="left"/>
      <w:outlineLvl w:val="6"/>
    </w:pPr>
    <w:rPr>
      <w:rFonts w:ascii="Times New Roman" w:hAnsi="Times New Roman"/>
      <w:b/>
      <w:bCs/>
      <w:sz w:val="24"/>
      <w:szCs w:val="20"/>
    </w:rPr>
  </w:style>
  <w:style w:type="paragraph" w:styleId="10">
    <w:name w:val="heading 8"/>
    <w:basedOn w:val="1"/>
    <w:next w:val="1"/>
    <w:link w:val="28"/>
    <w:qFormat/>
    <w:uiPriority w:val="0"/>
    <w:pPr>
      <w:keepNext/>
      <w:keepLines/>
      <w:numPr>
        <w:ilvl w:val="7"/>
        <w:numId w:val="1"/>
      </w:numPr>
      <w:spacing w:before="160" w:after="160" w:line="360" w:lineRule="auto"/>
      <w:ind w:firstLine="0"/>
      <w:jc w:val="left"/>
      <w:outlineLvl w:val="7"/>
    </w:pPr>
    <w:rPr>
      <w:rFonts w:ascii="Calibri Light" w:hAnsi="Calibri Light"/>
      <w:b/>
      <w:sz w:val="24"/>
    </w:rPr>
  </w:style>
  <w:style w:type="paragraph" w:styleId="11">
    <w:name w:val="heading 9"/>
    <w:basedOn w:val="1"/>
    <w:next w:val="1"/>
    <w:link w:val="29"/>
    <w:qFormat/>
    <w:uiPriority w:val="9"/>
    <w:pPr>
      <w:keepNext/>
      <w:keepLines/>
      <w:numPr>
        <w:ilvl w:val="8"/>
        <w:numId w:val="1"/>
      </w:numPr>
      <w:spacing w:before="160" w:after="160" w:line="360" w:lineRule="auto"/>
      <w:ind w:firstLine="0"/>
      <w:jc w:val="left"/>
      <w:outlineLvl w:val="8"/>
    </w:pPr>
    <w:rPr>
      <w:rFonts w:ascii="Calibri Light" w:hAnsi="Calibri Light"/>
      <w:b/>
      <w:sz w:val="24"/>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34"/>
    <w:qFormat/>
    <w:uiPriority w:val="0"/>
    <w:pPr>
      <w:spacing w:after="120" w:line="360" w:lineRule="auto"/>
      <w:ind w:firstLine="480" w:firstLineChars="200"/>
    </w:pPr>
    <w:rPr>
      <w:rFonts w:eastAsia="仿宋"/>
      <w:sz w:val="24"/>
      <w:szCs w:val="22"/>
    </w:rPr>
  </w:style>
  <w:style w:type="paragraph" w:styleId="12">
    <w:name w:val="Balloon Text"/>
    <w:basedOn w:val="1"/>
    <w:link w:val="40"/>
    <w:semiHidden/>
    <w:unhideWhenUsed/>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35"/>
    <w:unhideWhenUsed/>
    <w:qFormat/>
    <w:uiPriority w:val="99"/>
    <w:pPr>
      <w:spacing w:after="120" w:line="480" w:lineRule="auto"/>
      <w:ind w:firstLine="480" w:firstLineChars="200"/>
    </w:pPr>
    <w:rPr>
      <w:rFonts w:eastAsia="仿宋"/>
      <w:sz w:val="24"/>
      <w:szCs w:val="22"/>
    </w:rPr>
  </w:style>
  <w:style w:type="paragraph" w:styleId="16">
    <w:name w:val="Normal (Web)"/>
    <w:basedOn w:val="1"/>
    <w:unhideWhenUsed/>
    <w:qFormat/>
    <w:uiPriority w:val="99"/>
    <w:pPr>
      <w:spacing w:beforeAutospacing="1" w:afterAutospacing="1" w:line="360" w:lineRule="auto"/>
      <w:ind w:firstLine="480" w:firstLineChars="200"/>
      <w:jc w:val="left"/>
    </w:pPr>
    <w:rPr>
      <w:rFonts w:eastAsia="仿宋"/>
      <w:kern w:val="0"/>
      <w:sz w:val="24"/>
      <w:szCs w:val="22"/>
    </w:rPr>
  </w:style>
  <w:style w:type="paragraph" w:styleId="17">
    <w:name w:val="Title"/>
    <w:basedOn w:val="1"/>
    <w:next w:val="1"/>
    <w:link w:val="37"/>
    <w:qFormat/>
    <w:uiPriority w:val="0"/>
    <w:pPr>
      <w:spacing w:before="240" w:after="60"/>
      <w:jc w:val="center"/>
      <w:outlineLvl w:val="0"/>
    </w:pPr>
    <w:rPr>
      <w:rFonts w:ascii="等线 Light" w:hAnsi="等线 Light"/>
      <w:b/>
      <w:bCs/>
      <w:sz w:val="32"/>
      <w:szCs w:val="32"/>
    </w:rPr>
  </w:style>
  <w:style w:type="paragraph" w:styleId="18">
    <w:name w:val="Body Text First Indent"/>
    <w:basedOn w:val="3"/>
    <w:link w:val="36"/>
    <w:qFormat/>
    <w:uiPriority w:val="0"/>
    <w:pPr>
      <w:spacing w:line="240" w:lineRule="auto"/>
      <w:ind w:firstLine="420" w:firstLineChars="100"/>
    </w:pPr>
    <w:rPr>
      <w:rFonts w:ascii="Times New Roman" w:hAnsi="Times New Roman" w:eastAsia="宋体"/>
      <w:sz w:val="21"/>
      <w:szCs w:val="24"/>
    </w:rPr>
  </w:style>
  <w:style w:type="character" w:customStyle="1" w:styleId="21">
    <w:name w:val="标题 1 Char"/>
    <w:basedOn w:val="20"/>
    <w:link w:val="2"/>
    <w:qFormat/>
    <w:uiPriority w:val="9"/>
    <w:rPr>
      <w:rFonts w:ascii="黑体" w:hAnsi="黑体" w:eastAsia="宋体" w:cs="Times New Roman"/>
      <w:b/>
      <w:bCs/>
      <w:snapToGrid w:val="0"/>
      <w:kern w:val="0"/>
      <w:sz w:val="32"/>
      <w:szCs w:val="44"/>
    </w:rPr>
  </w:style>
  <w:style w:type="character" w:customStyle="1" w:styleId="22">
    <w:name w:val="标题 2 Char"/>
    <w:basedOn w:val="20"/>
    <w:link w:val="4"/>
    <w:qFormat/>
    <w:uiPriority w:val="0"/>
    <w:rPr>
      <w:rFonts w:ascii="黑体" w:hAnsi="Arial" w:eastAsia="宋体" w:cs="Times New Roman"/>
      <w:b/>
      <w:bCs/>
      <w:kern w:val="0"/>
      <w:sz w:val="30"/>
      <w:szCs w:val="32"/>
    </w:rPr>
  </w:style>
  <w:style w:type="character" w:customStyle="1" w:styleId="23">
    <w:name w:val="标题 3 Char"/>
    <w:basedOn w:val="20"/>
    <w:link w:val="5"/>
    <w:qFormat/>
    <w:uiPriority w:val="0"/>
    <w:rPr>
      <w:rFonts w:ascii="Times New Roman" w:hAnsi="Times New Roman" w:eastAsia="宋体" w:cs="Times New Roman"/>
      <w:b/>
      <w:bCs/>
      <w:sz w:val="30"/>
      <w:szCs w:val="32"/>
    </w:rPr>
  </w:style>
  <w:style w:type="character" w:customStyle="1" w:styleId="24">
    <w:name w:val="标题 4 Char"/>
    <w:basedOn w:val="20"/>
    <w:link w:val="6"/>
    <w:qFormat/>
    <w:uiPriority w:val="9"/>
    <w:rPr>
      <w:rFonts w:ascii="黑体" w:hAnsi="Arial" w:eastAsia="宋体" w:cs="Times New Roman"/>
      <w:b/>
      <w:bCs/>
      <w:kern w:val="0"/>
      <w:sz w:val="28"/>
      <w:szCs w:val="28"/>
    </w:rPr>
  </w:style>
  <w:style w:type="character" w:customStyle="1" w:styleId="25">
    <w:name w:val="标题 5 Char"/>
    <w:basedOn w:val="20"/>
    <w:link w:val="7"/>
    <w:qFormat/>
    <w:uiPriority w:val="0"/>
    <w:rPr>
      <w:rFonts w:ascii="黑体" w:hAnsi="Times New Roman" w:eastAsia="宋体" w:cs="Times New Roman"/>
      <w:b/>
      <w:bCs/>
      <w:sz w:val="24"/>
      <w:szCs w:val="28"/>
    </w:rPr>
  </w:style>
  <w:style w:type="character" w:customStyle="1" w:styleId="26">
    <w:name w:val="标题 6 Char"/>
    <w:basedOn w:val="20"/>
    <w:link w:val="8"/>
    <w:qFormat/>
    <w:uiPriority w:val="0"/>
    <w:rPr>
      <w:rFonts w:ascii="黑体" w:hAnsi="Cambria" w:eastAsia="宋体" w:cs="Times New Roman"/>
      <w:b/>
      <w:bCs/>
      <w:sz w:val="24"/>
      <w:szCs w:val="20"/>
    </w:rPr>
  </w:style>
  <w:style w:type="character" w:customStyle="1" w:styleId="27">
    <w:name w:val="标题 7 Char"/>
    <w:basedOn w:val="20"/>
    <w:link w:val="9"/>
    <w:qFormat/>
    <w:uiPriority w:val="0"/>
    <w:rPr>
      <w:rFonts w:ascii="Times New Roman" w:hAnsi="Times New Roman" w:eastAsia="宋体" w:cs="Times New Roman"/>
      <w:b/>
      <w:bCs/>
      <w:sz w:val="24"/>
      <w:szCs w:val="20"/>
    </w:rPr>
  </w:style>
  <w:style w:type="character" w:customStyle="1" w:styleId="28">
    <w:name w:val="标题 8 Char"/>
    <w:basedOn w:val="20"/>
    <w:link w:val="10"/>
    <w:qFormat/>
    <w:uiPriority w:val="0"/>
    <w:rPr>
      <w:rFonts w:ascii="Calibri Light" w:hAnsi="Calibri Light" w:eastAsia="宋体" w:cs="Times New Roman"/>
      <w:b/>
      <w:sz w:val="24"/>
      <w:szCs w:val="24"/>
    </w:rPr>
  </w:style>
  <w:style w:type="character" w:customStyle="1" w:styleId="29">
    <w:name w:val="标题 9 Char"/>
    <w:basedOn w:val="20"/>
    <w:link w:val="11"/>
    <w:qFormat/>
    <w:uiPriority w:val="9"/>
    <w:rPr>
      <w:rFonts w:ascii="Calibri Light" w:hAnsi="Calibri Light" w:eastAsia="宋体" w:cs="Times New Roman"/>
      <w:b/>
      <w:sz w:val="24"/>
      <w:szCs w:val="21"/>
    </w:rPr>
  </w:style>
  <w:style w:type="paragraph" w:customStyle="1" w:styleId="30">
    <w:name w:val="_Style 21"/>
    <w:basedOn w:val="1"/>
    <w:next w:val="31"/>
    <w:link w:val="32"/>
    <w:qFormat/>
    <w:uiPriority w:val="34"/>
    <w:pPr>
      <w:ind w:firstLine="420" w:firstLineChars="200"/>
    </w:pPr>
    <w:rPr>
      <w:rFonts w:asciiTheme="minorHAnsi" w:hAnsiTheme="minorHAnsi" w:eastAsiaTheme="minorEastAsia" w:cstheme="minorBidi"/>
      <w:szCs w:val="22"/>
      <w:lang w:val="zh-CN"/>
    </w:rPr>
  </w:style>
  <w:style w:type="paragraph" w:styleId="31">
    <w:name w:val="List Paragraph"/>
    <w:basedOn w:val="1"/>
    <w:qFormat/>
    <w:uiPriority w:val="34"/>
    <w:pPr>
      <w:ind w:firstLine="420" w:firstLineChars="200"/>
    </w:pPr>
  </w:style>
  <w:style w:type="character" w:customStyle="1" w:styleId="32">
    <w:name w:val="列出段落 字符"/>
    <w:link w:val="30"/>
    <w:qFormat/>
    <w:uiPriority w:val="34"/>
    <w:rPr>
      <w:kern w:val="2"/>
      <w:sz w:val="21"/>
      <w:szCs w:val="22"/>
      <w:lang w:val="zh-CN" w:eastAsia="zh-CN"/>
    </w:rPr>
  </w:style>
  <w:style w:type="character" w:customStyle="1" w:styleId="33">
    <w:name w:val="页脚 Char"/>
    <w:basedOn w:val="20"/>
    <w:link w:val="13"/>
    <w:qFormat/>
    <w:uiPriority w:val="99"/>
    <w:rPr>
      <w:rFonts w:ascii="Calibri" w:hAnsi="Calibri" w:eastAsia="宋体" w:cs="Times New Roman"/>
      <w:sz w:val="18"/>
      <w:szCs w:val="18"/>
    </w:rPr>
  </w:style>
  <w:style w:type="character" w:customStyle="1" w:styleId="34">
    <w:name w:val="正文文本 Char"/>
    <w:basedOn w:val="20"/>
    <w:link w:val="3"/>
    <w:qFormat/>
    <w:uiPriority w:val="0"/>
    <w:rPr>
      <w:rFonts w:ascii="Calibri" w:hAnsi="Calibri" w:eastAsia="仿宋" w:cs="Times New Roman"/>
      <w:sz w:val="24"/>
    </w:rPr>
  </w:style>
  <w:style w:type="character" w:customStyle="1" w:styleId="35">
    <w:name w:val="正文文本 2 Char"/>
    <w:basedOn w:val="20"/>
    <w:link w:val="15"/>
    <w:qFormat/>
    <w:uiPriority w:val="99"/>
    <w:rPr>
      <w:rFonts w:ascii="Calibri" w:hAnsi="Calibri" w:eastAsia="仿宋" w:cs="Times New Roman"/>
      <w:sz w:val="24"/>
    </w:rPr>
  </w:style>
  <w:style w:type="character" w:customStyle="1" w:styleId="36">
    <w:name w:val="正文首行缩进 Char"/>
    <w:basedOn w:val="34"/>
    <w:link w:val="18"/>
    <w:qFormat/>
    <w:uiPriority w:val="0"/>
    <w:rPr>
      <w:rFonts w:ascii="Times New Roman" w:hAnsi="Times New Roman" w:eastAsia="宋体" w:cs="Times New Roman"/>
      <w:sz w:val="24"/>
      <w:szCs w:val="24"/>
    </w:rPr>
  </w:style>
  <w:style w:type="character" w:customStyle="1" w:styleId="37">
    <w:name w:val="标题 Char"/>
    <w:basedOn w:val="20"/>
    <w:link w:val="17"/>
    <w:qFormat/>
    <w:uiPriority w:val="0"/>
    <w:rPr>
      <w:rFonts w:ascii="等线 Light" w:hAnsi="等线 Light" w:eastAsia="宋体" w:cs="Times New Roman"/>
      <w:b/>
      <w:bCs/>
      <w:sz w:val="32"/>
      <w:szCs w:val="32"/>
    </w:rPr>
  </w:style>
  <w:style w:type="paragraph" w:customStyle="1" w:styleId="38">
    <w:name w:val="列出段落1"/>
    <w:basedOn w:val="1"/>
    <w:qFormat/>
    <w:uiPriority w:val="0"/>
    <w:pPr>
      <w:ind w:firstLine="420" w:firstLineChars="200"/>
    </w:pPr>
    <w:rPr>
      <w:szCs w:val="22"/>
    </w:rPr>
  </w:style>
  <w:style w:type="character" w:customStyle="1" w:styleId="39">
    <w:name w:val="页眉 Char"/>
    <w:basedOn w:val="20"/>
    <w:link w:val="14"/>
    <w:qFormat/>
    <w:uiPriority w:val="99"/>
    <w:rPr>
      <w:rFonts w:ascii="Calibri" w:hAnsi="Calibri" w:eastAsia="宋体" w:cs="Times New Roman"/>
      <w:sz w:val="18"/>
      <w:szCs w:val="18"/>
    </w:rPr>
  </w:style>
  <w:style w:type="character" w:customStyle="1" w:styleId="40">
    <w:name w:val="批注框文本 Char"/>
    <w:basedOn w:val="20"/>
    <w:link w:val="1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4BF6-ECD4-4568-8408-3D824F14D2E5}">
  <ds:schemaRefs/>
</ds:datastoreItem>
</file>

<file path=docProps/app.xml><?xml version="1.0" encoding="utf-8"?>
<Properties xmlns="http://schemas.openxmlformats.org/officeDocument/2006/extended-properties" xmlns:vt="http://schemas.openxmlformats.org/officeDocument/2006/docPropsVTypes">
  <Template>Normal</Template>
  <Pages>13</Pages>
  <Words>5155</Words>
  <Characters>5276</Characters>
  <Lines>37</Lines>
  <Paragraphs>10</Paragraphs>
  <TotalTime>298</TotalTime>
  <ScaleCrop>false</ScaleCrop>
  <LinksUpToDate>false</LinksUpToDate>
  <CharactersWithSpaces>5298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2023-06-09T08:23:00Z</dcterms:created>
  <dc:creator>Administrator</dc:creator>
  <cp:lastModifiedBy>苏琪</cp:lastModifiedBy>
  <cp:lastPrinted>2023-04-10T07:36:00Z</cp:lastPrinted>
  <dcterms:modified xsi:type="dcterms:W3CDTF">2023-06-26T06:15:03Z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40507AA370814C85884E48016519D60E_13</vt:lpwstr>
  </property>
</Properties>
</file>