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57C" w:rsidRPr="0061357C" w:rsidRDefault="0061357C" w:rsidP="0061357C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1357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幼儿园食堂开水房改造的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61357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61357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61357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61357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5501</w:t>
      </w:r>
    </w:p>
    <w:p w:rsidR="00BB4578" w:rsidRPr="00554028" w:rsidRDefault="0061357C" w:rsidP="005F6FE2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   2024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日，南昌市市场监督管理局联合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东湖区教体局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等单位对我园食堂进行了全面、细致的检查。检查后，下达了责令整改通知书，指出我园食堂在下水道密封、通风、消毒物品存储等方面未达到标准，要求对食堂开水房进行改造，包括重新定制密封橱柜、更换水槽、铺设下水道、加盖密封盖板等，并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月完成所有工作，接受上级部门的回头看检查。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我园深知幼儿园食堂的安全与卫生对于孩子们的健康至关重要，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故高度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重视此次整改。为切实落实整改通知书的各项要求，给孩子们创造一个更加安全、卫生的环境，特向学校申请对食堂开水房进行改造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4B3302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4B330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4B3302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B330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B330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357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2C3A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B614-B2EF-4DDC-AFD1-38A3C7D6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