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</w:rPr>
        <w:t>关于校团委办公区域进行电路及亮化设施整修项目的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询价公告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{2024}5515</w:t>
      </w:r>
    </w:p>
    <w:bookmarkEnd w:id="0"/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瑶湖校区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校团委多间办公场所、公共活动区域灯光损坏，同时部分办公室出现插座失电现象，对日常工作及学生活动开展带来极大不便及安全隐患，现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需要对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办公区域电路及亮化设施进行整修，对部分严重破损灯光予以更换，以确保日常工作和学生活动的有序进行。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sz w:val="28"/>
          <w:szCs w:val="28"/>
        </w:rPr>
      </w:pPr>
    </w:p>
    <w:p w14:paraId="4668DCB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B0A305C"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B81204"/>
    <w:rsid w:val="631F442B"/>
    <w:rsid w:val="640B386C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848</Words>
  <Characters>916</Characters>
  <Lines>5</Lines>
  <Paragraphs>1</Paragraphs>
  <TotalTime>12</TotalTime>
  <ScaleCrop>false</ScaleCrop>
  <LinksUpToDate>false</LinksUpToDate>
  <CharactersWithSpaces>960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2024-10-28T02:53:00Z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C2427D9F6EDC4ECB8626A3D7D1DD9A74_13</vt:lpwstr>
  </property>
</Properties>
</file>