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更换瑶湖校区第二开闭所真空断路器内储能电机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[2024]719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瑶湖校区发现第二开闭所真空断路器内的储能电机损毁（型号：Type VD4M 1212-25），现已无法正常使用，急需更换。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30D5239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9243950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2024-03-07T07:58:45Z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09C6624E6E7F46A3AFBE3CF196B1D435_13</vt:lpwstr>
  </property>
</Properties>
</file>