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6C6E1E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6C6E1E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关于游泳馆新增两处渗漏点的维修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 w:rsidR="00285FEF">
        <w:rPr>
          <w:rFonts w:ascii="微软雅黑" w:eastAsia="微软雅黑" w:hAnsi="微软雅黑" w:cs="宋体"/>
          <w:bCs/>
          <w:kern w:val="0"/>
          <w:sz w:val="36"/>
          <w:szCs w:val="36"/>
        </w:rPr>
        <w:t>12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6C6E1E" w:rsidRPr="006C6E1E">
        <w:rPr>
          <w:rFonts w:hint="eastAsia"/>
          <w:color w:val="333333"/>
          <w:sz w:val="27"/>
          <w:szCs w:val="27"/>
          <w:shd w:val="clear" w:color="auto" w:fill="FFFFFF"/>
        </w:rPr>
        <w:t>游泳馆发现两个漏点，需防水处理。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D5559E">
        <w:rPr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5559E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5559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F2" w:rsidRDefault="009239F2" w:rsidP="00FE732D">
      <w:r>
        <w:separator/>
      </w:r>
    </w:p>
  </w:endnote>
  <w:endnote w:type="continuationSeparator" w:id="0">
    <w:p w:rsidR="009239F2" w:rsidRDefault="009239F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F2" w:rsidRDefault="009239F2" w:rsidP="00FE732D">
      <w:r>
        <w:separator/>
      </w:r>
    </w:p>
  </w:footnote>
  <w:footnote w:type="continuationSeparator" w:id="0">
    <w:p w:rsidR="009239F2" w:rsidRDefault="009239F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85FEF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C6E1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239F2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5559E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78B1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2024-03-28T07:52:00Z</dcterms:created>
  <dcterms:modified xsi:type="dcterms:W3CDTF">2024-03-28T07:52:00Z</dcterms:modified>
</cp:coreProperties>
</file>