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/>
        </w:rPr>
        <w:t>关于</w:t>
      </w:r>
      <w:r>
        <w:rPr>
          <w:rFonts w:hint="eastAsia"/>
          <w:lang w:val="en-US" w:eastAsia="zh-CN"/>
        </w:rPr>
        <w:t>瑶湖校区图文中心直饮水水管改造</w:t>
      </w:r>
      <w:r>
        <w:rPr>
          <w:rFonts w:hint="eastAsia"/>
        </w:rPr>
        <w:t>项目的询价公告</w:t>
      </w:r>
      <w:r>
        <w:rPr>
          <w:rFonts w:hint="eastAsia"/>
          <w:lang w:val="en-US" w:eastAsia="zh-CN"/>
        </w:rPr>
        <w:t>[2024]3129</w:t>
      </w:r>
    </w:p>
    <w:bookmarkEnd w:id="0"/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为了缓解师生饮水问题近日己启动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瑶湖校区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图文信息中心直饮水机租赁相关工作，租赁设备进场前需要将原有的直饮水管路取消(采用设立中央机房集中过滤设置分机提供直饮水)改成在租赁楼层直接取水供水，为此需要对图文中心一区一至三楼、四区一至四楼的直饮机水管管路进行改造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28061F7"/>
    <w:rsid w:val="0318343D"/>
    <w:rsid w:val="06E77BA2"/>
    <w:rsid w:val="076A46DE"/>
    <w:rsid w:val="07823F28"/>
    <w:rsid w:val="0BBB664F"/>
    <w:rsid w:val="0DA17EB9"/>
    <w:rsid w:val="0EB533E7"/>
    <w:rsid w:val="0F253FA1"/>
    <w:rsid w:val="0F8C1C38"/>
    <w:rsid w:val="133929D9"/>
    <w:rsid w:val="150B552C"/>
    <w:rsid w:val="16DC6E9E"/>
    <w:rsid w:val="19812779"/>
    <w:rsid w:val="1EC91A8A"/>
    <w:rsid w:val="22CE42B7"/>
    <w:rsid w:val="230D5239"/>
    <w:rsid w:val="24910624"/>
    <w:rsid w:val="272E07E6"/>
    <w:rsid w:val="276969B7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2B81204"/>
    <w:rsid w:val="631F442B"/>
    <w:rsid w:val="65313EAD"/>
    <w:rsid w:val="66602FCE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9D97F3D"/>
    <w:rsid w:val="7B6D54D1"/>
    <w:rsid w:val="7C5A2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785</Words>
  <Characters>829</Characters>
  <Lines>5</Lines>
  <Paragraphs>1</Paragraphs>
  <TotalTime>12</TotalTime>
  <ScaleCrop>false</ScaleCrop>
  <LinksUpToDate>false</LinksUpToDate>
  <CharactersWithSpaces>872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2024-06-19T03:22:11Z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770E3E91C35B439EB1ABFD4606937C08_13</vt:lpwstr>
  </property>
</Properties>
</file>