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22"/>
          <w:szCs w:val="22"/>
        </w:rPr>
      </w:pPr>
      <w:bookmarkStart w:id="0" w:name="_Hlk166670331"/>
      <w:r>
        <w:rPr>
          <w:rFonts w:hint="eastAsia"/>
          <w:b/>
          <w:bCs/>
          <w:sz w:val="22"/>
          <w:szCs w:val="22"/>
        </w:rPr>
        <w:t>低压柜内断路器要求：</w:t>
      </w:r>
    </w:p>
    <w:bookmarkEnd w:id="0"/>
    <w:p>
      <w:pPr>
        <w:rPr>
          <w:b/>
          <w:bCs/>
          <w:sz w:val="22"/>
          <w:szCs w:val="22"/>
        </w:rPr>
      </w:pPr>
    </w:p>
    <w:p>
      <w:pPr>
        <w:rPr>
          <w:b/>
          <w:bCs/>
          <w:sz w:val="22"/>
          <w:szCs w:val="22"/>
        </w:rPr>
      </w:pPr>
      <w:r>
        <w:rPr>
          <w:rFonts w:hint="eastAsia"/>
          <w:b/>
          <w:bCs/>
          <w:sz w:val="22"/>
          <w:szCs w:val="22"/>
        </w:rPr>
        <w:t>额定电流</w:t>
      </w:r>
      <w:r>
        <w:rPr>
          <w:b/>
          <w:bCs/>
          <w:sz w:val="22"/>
          <w:szCs w:val="22"/>
        </w:rPr>
        <w:t>630A</w:t>
      </w:r>
      <w:r>
        <w:rPr>
          <w:rFonts w:hint="eastAsia"/>
          <w:b/>
          <w:bCs/>
          <w:sz w:val="22"/>
          <w:szCs w:val="22"/>
        </w:rPr>
        <w:t>以上使用框架断路器,选用施耐德</w:t>
      </w:r>
      <w:r>
        <w:rPr>
          <w:b/>
          <w:bCs/>
          <w:sz w:val="22"/>
          <w:szCs w:val="22"/>
        </w:rPr>
        <w:t xml:space="preserve">MTZ </w:t>
      </w:r>
      <w:r>
        <w:rPr>
          <w:rFonts w:hint="eastAsia"/>
          <w:b/>
          <w:bCs/>
          <w:sz w:val="22"/>
          <w:szCs w:val="22"/>
        </w:rPr>
        <w:t>Mic5.0</w:t>
      </w:r>
      <w:r>
        <w:rPr>
          <w:b/>
          <w:bCs/>
          <w:sz w:val="22"/>
          <w:szCs w:val="22"/>
        </w:rPr>
        <w:t>X</w:t>
      </w:r>
      <w:r>
        <w:rPr>
          <w:rFonts w:hint="eastAsia"/>
          <w:b/>
          <w:bCs/>
          <w:sz w:val="22"/>
          <w:szCs w:val="22"/>
        </w:rPr>
        <w:t>系列，或ABB Emax T-LSI HST系列，西门子3WL ETU45B+LCD+MEA系列；</w:t>
      </w:r>
      <w:r>
        <w:rPr>
          <w:b/>
          <w:bCs/>
          <w:sz w:val="22"/>
          <w:szCs w:val="22"/>
        </w:rPr>
        <w:t xml:space="preserve">   </w:t>
      </w:r>
    </w:p>
    <w:p>
      <w:pPr>
        <w:rPr>
          <w:b/>
          <w:bCs/>
          <w:sz w:val="22"/>
          <w:szCs w:val="22"/>
        </w:rPr>
      </w:pPr>
      <w:r>
        <w:rPr>
          <w:b/>
          <w:bCs/>
          <w:sz w:val="22"/>
          <w:szCs w:val="22"/>
        </w:rPr>
        <w:t xml:space="preserve"> </w:t>
      </w:r>
      <w:r>
        <w:rPr>
          <w:rFonts w:hint="eastAsia"/>
          <w:b/>
          <w:bCs/>
          <w:sz w:val="22"/>
          <w:szCs w:val="22"/>
        </w:rPr>
        <w:t>额定电流</w:t>
      </w:r>
      <w:r>
        <w:rPr>
          <w:b/>
          <w:bCs/>
          <w:sz w:val="22"/>
          <w:szCs w:val="22"/>
        </w:rPr>
        <w:t>630A</w:t>
      </w:r>
      <w:r>
        <w:rPr>
          <w:rFonts w:hint="eastAsia"/>
          <w:b/>
          <w:bCs/>
          <w:sz w:val="22"/>
          <w:szCs w:val="22"/>
        </w:rPr>
        <w:t>及以下使用塑壳断路器,选用施耐德NSX系列，ABB Tmax（T2/4/6） 系列，西门子3VA系列。</w:t>
      </w:r>
    </w:p>
    <w:p>
      <w:pPr>
        <w:rPr>
          <w:rFonts w:ascii="Times New Roman" w:hAnsi="Times New Roman"/>
          <w:color w:val="auto"/>
        </w:rPr>
      </w:pPr>
      <w:r>
        <w:rPr>
          <w:rFonts w:hint="eastAsia" w:ascii="Times New Roman" w:hAnsi="Times New Roman"/>
          <w:color w:val="auto"/>
        </w:rPr>
        <w:t>1、低压柜内</w:t>
      </w:r>
      <w:bookmarkStart w:id="1" w:name="_Hlk164796205"/>
      <w:r>
        <w:rPr>
          <w:rFonts w:hint="eastAsia" w:ascii="Times New Roman" w:hAnsi="Times New Roman"/>
          <w:color w:val="auto"/>
        </w:rPr>
        <w:t>框架断路器控制单元</w:t>
      </w:r>
      <w:bookmarkEnd w:id="1"/>
      <w:r>
        <w:rPr>
          <w:rFonts w:hint="eastAsia" w:ascii="Times New Roman" w:hAnsi="Times New Roman"/>
          <w:color w:val="auto"/>
        </w:rPr>
        <w:t>具备M</w:t>
      </w:r>
      <w:r>
        <w:rPr>
          <w:rFonts w:ascii="Times New Roman" w:hAnsi="Times New Roman"/>
          <w:color w:val="auto"/>
        </w:rPr>
        <w:t>odbus</w:t>
      </w:r>
      <w:r>
        <w:rPr>
          <w:rFonts w:hint="eastAsia" w:ascii="Times New Roman" w:hAnsi="Times New Roman"/>
          <w:color w:val="auto"/>
        </w:rPr>
        <w:t>通讯、N</w:t>
      </w:r>
      <w:r>
        <w:rPr>
          <w:rFonts w:ascii="Times New Roman" w:hAnsi="Times New Roman"/>
          <w:color w:val="auto"/>
        </w:rPr>
        <w:t>FC</w:t>
      </w:r>
      <w:r>
        <w:rPr>
          <w:rFonts w:hint="eastAsia" w:ascii="Times New Roman" w:hAnsi="Times New Roman"/>
          <w:color w:val="auto"/>
        </w:rPr>
        <w:t>通讯和蓝牙通讯，配合通过手机</w:t>
      </w:r>
      <w:r>
        <w:rPr>
          <w:rFonts w:ascii="Times New Roman" w:hAnsi="Times New Roman"/>
          <w:color w:val="auto"/>
        </w:rPr>
        <w:t>APP</w:t>
      </w:r>
      <w:r>
        <w:rPr>
          <w:rFonts w:hint="eastAsia" w:ascii="Times New Roman" w:hAnsi="Times New Roman"/>
          <w:color w:val="auto"/>
        </w:rPr>
        <w:t>互联互通，快速检查断路器的全面信息、磨损及预防性维护信息，并可以指导故障分析及故障快速恢复。</w:t>
      </w:r>
    </w:p>
    <w:p>
      <w:pPr>
        <w:rPr>
          <w:rFonts w:ascii="Times New Roman" w:hAnsi="Times New Roman"/>
        </w:rPr>
      </w:pPr>
      <w:r>
        <w:rPr>
          <w:rFonts w:ascii="Times New Roman" w:hAnsi="Times New Roman"/>
        </w:rPr>
        <w:t>2</w:t>
      </w:r>
      <w:r>
        <w:rPr>
          <w:rFonts w:hint="eastAsia" w:ascii="Times New Roman" w:hAnsi="Times New Roman"/>
        </w:rPr>
        <w:t>、框架断路器控制单元具备1</w:t>
      </w:r>
      <w:r>
        <w:rPr>
          <w:rFonts w:ascii="Times New Roman" w:hAnsi="Times New Roman"/>
        </w:rPr>
        <w:t>000</w:t>
      </w:r>
      <w:r>
        <w:rPr>
          <w:rFonts w:hint="eastAsia" w:ascii="Times New Roman" w:hAnsi="Times New Roman"/>
        </w:rPr>
        <w:t>条以上脱扣、保护、测量、操作、诊断等多种事件记录功能。</w:t>
      </w:r>
    </w:p>
    <w:p>
      <w:pPr>
        <w:rPr>
          <w:rFonts w:ascii="Times New Roman" w:hAnsi="Times New Roman"/>
        </w:rPr>
      </w:pPr>
      <w:r>
        <w:rPr>
          <w:rFonts w:ascii="Times New Roman" w:hAnsi="Times New Roman"/>
        </w:rPr>
        <w:t>3</w:t>
      </w:r>
      <w:r>
        <w:rPr>
          <w:rFonts w:hint="eastAsia" w:ascii="Times New Roman" w:hAnsi="Times New Roman"/>
        </w:rPr>
        <w:t>、在400～415V电压下，塑壳式断路器短路分断能力满足Ics=100％Icu，且Ics≥</w:t>
      </w:r>
      <w:r>
        <w:rPr>
          <w:rFonts w:ascii="Times New Roman" w:hAnsi="Times New Roman"/>
        </w:rPr>
        <w:t>50KA</w:t>
      </w:r>
      <w:r>
        <w:rPr>
          <w:rFonts w:hint="eastAsia" w:ascii="Times New Roman" w:hAnsi="Times New Roman"/>
        </w:rPr>
        <w:t>且提供C</w:t>
      </w:r>
      <w:r>
        <w:rPr>
          <w:rFonts w:ascii="Times New Roman" w:hAnsi="Times New Roman"/>
        </w:rPr>
        <w:t>QC</w:t>
      </w:r>
      <w:r>
        <w:rPr>
          <w:rFonts w:hint="eastAsia" w:ascii="Times New Roman" w:hAnsi="Times New Roman"/>
        </w:rPr>
        <w:t>报告。</w:t>
      </w:r>
    </w:p>
    <w:p>
      <w:pPr>
        <w:rPr>
          <w:rFonts w:ascii="Times New Roman" w:hAnsi="Times New Roman"/>
        </w:rPr>
      </w:pPr>
      <w:r>
        <w:rPr>
          <w:rFonts w:ascii="Times New Roman" w:hAnsi="Times New Roman"/>
        </w:rPr>
        <w:t>4</w:t>
      </w:r>
      <w:r>
        <w:rPr>
          <w:rFonts w:hint="eastAsia" w:ascii="Times New Roman" w:hAnsi="Times New Roman"/>
        </w:rPr>
        <w:t>、塑壳断路器机械寿命250A及其以下规格机械寿命不低于25000次；400/630A规格机械寿命不低于20000次。</w:t>
      </w:r>
    </w:p>
    <w:p>
      <w:pPr>
        <w:rPr>
          <w:rFonts w:hint="eastAsia" w:asciiTheme="minorEastAsia" w:hAnsiTheme="minorEastAsia" w:eastAsiaTheme="minorEastAsia"/>
          <w:b/>
          <w:sz w:val="22"/>
          <w:szCs w:val="22"/>
          <w:lang w:eastAsia="zh-CN"/>
        </w:rPr>
      </w:pPr>
      <w:r>
        <w:rPr>
          <w:rFonts w:hint="eastAsia" w:asciiTheme="minorEastAsia" w:hAnsiTheme="minorEastAsia" w:eastAsiaTheme="minorEastAsia"/>
          <w:b/>
          <w:sz w:val="22"/>
          <w:szCs w:val="22"/>
        </w:rPr>
        <w:t>由制造厂商提供相关证明材料并由制造厂商与参与投标厂商共同加盖公章</w:t>
      </w:r>
      <w:r>
        <w:rPr>
          <w:rFonts w:hint="eastAsia" w:asciiTheme="minorEastAsia" w:hAnsiTheme="minorEastAsia" w:eastAsiaTheme="minorEastAsia"/>
          <w:b/>
          <w:sz w:val="22"/>
          <w:szCs w:val="22"/>
          <w:lang w:eastAsia="zh-CN"/>
        </w:rPr>
        <w:t>。</w:t>
      </w:r>
    </w:p>
    <w:p>
      <w:pPr>
        <w:rPr>
          <w:rFonts w:ascii="宋体" w:hAnsi="宋体" w:eastAsiaTheme="minorEastAsia"/>
          <w:b/>
          <w:sz w:val="22"/>
          <w:szCs w:val="22"/>
        </w:rPr>
      </w:pPr>
    </w:p>
    <w:p/>
    <w:p/>
    <w:p>
      <w:pPr>
        <w:rPr>
          <w:b/>
          <w:bCs/>
          <w:sz w:val="22"/>
          <w:szCs w:val="22"/>
        </w:rPr>
      </w:pPr>
      <w:r>
        <w:rPr>
          <w:rFonts w:hint="eastAsia"/>
          <w:b/>
          <w:bCs/>
          <w:sz w:val="22"/>
          <w:szCs w:val="22"/>
        </w:rPr>
        <w:t>高压柜内断路器要求：</w:t>
      </w:r>
    </w:p>
    <w:p>
      <w:pPr>
        <w:rPr>
          <w:rFonts w:hint="eastAsia" w:hAnsi="宋体" w:cs="Arial"/>
        </w:rPr>
      </w:pPr>
      <w:r>
        <w:rPr>
          <w:rFonts w:hint="eastAsia" w:hAnsi="宋体" w:cs="Arial"/>
        </w:rPr>
        <w:t>真空断路器应选用施耐德HVX系列，ABB VD4-HE系列，西门子3AE8</w:t>
      </w:r>
    </w:p>
    <w:p>
      <w:pPr>
        <w:rPr>
          <w:rFonts w:hint="eastAsia" w:hAnsi="宋体" w:cs="Arial"/>
        </w:rPr>
      </w:pPr>
      <w:r>
        <w:rPr>
          <w:rFonts w:hint="eastAsia" w:hAnsi="宋体" w:cs="Arial"/>
        </w:rPr>
        <w:t>1、所投真空断路器应具备较好的操作稳定性，满足机械操作次数≥50000次;完全满足得3分; 机械寿命≥30000次。</w:t>
      </w:r>
    </w:p>
    <w:p>
      <w:pPr>
        <w:rPr>
          <w:rFonts w:hint="eastAsia" w:hAnsi="宋体" w:cs="Arial"/>
        </w:rPr>
      </w:pPr>
      <w:r>
        <w:rPr>
          <w:rFonts w:hint="eastAsia" w:hAnsi="宋体" w:cs="Arial"/>
        </w:rPr>
        <w:t>提供第三方检测机构出具的具有CMA和CNAS标识的检验报告并加盖制造商公章。</w:t>
      </w:r>
    </w:p>
    <w:p>
      <w:pPr>
        <w:rPr>
          <w:rFonts w:hAnsi="宋体" w:cs="Arial"/>
        </w:rPr>
      </w:pPr>
      <w:r>
        <w:rPr>
          <w:rFonts w:hint="eastAsia" w:hAnsi="宋体" w:cs="Arial"/>
        </w:rPr>
        <w:t> </w:t>
      </w:r>
    </w:p>
    <w:p>
      <w:pPr>
        <w:rPr>
          <w:rFonts w:hint="eastAsia" w:hAnsi="宋体" w:eastAsia="宋体" w:cs="Arial"/>
          <w:lang w:eastAsia="zh-CN"/>
        </w:rPr>
      </w:pPr>
      <w:r>
        <w:rPr>
          <w:rFonts w:hint="eastAsia" w:hAnsi="宋体" w:cs="Arial"/>
        </w:rPr>
        <w:t>2、为保证使用安全，真空断路器采用环氧树脂固封极柱且极柱阻燃等级满足V0级</w:t>
      </w:r>
      <w:r>
        <w:rPr>
          <w:rFonts w:hint="eastAsia" w:hAnsi="宋体" w:cs="Arial"/>
          <w:lang w:eastAsia="zh-CN"/>
        </w:rPr>
        <w:t>。</w:t>
      </w:r>
    </w:p>
    <w:p>
      <w:pPr>
        <w:rPr>
          <w:rFonts w:hint="eastAsia" w:hAnsi="宋体" w:cs="Arial"/>
        </w:rPr>
      </w:pPr>
      <w:r>
        <w:rPr>
          <w:rFonts w:hint="eastAsia" w:hAnsi="宋体" w:cs="Arial"/>
        </w:rPr>
        <w:t>提供第三方检测机构出具的检验报告并加盖制造商公章。</w:t>
      </w:r>
    </w:p>
    <w:p>
      <w:pPr>
        <w:rPr>
          <w:rFonts w:hAnsi="宋体" w:cs="Arial"/>
        </w:rPr>
      </w:pPr>
      <w:r>
        <w:rPr>
          <w:rFonts w:hint="eastAsia" w:hAnsi="宋体" w:cs="Arial"/>
        </w:rPr>
        <w:t> </w:t>
      </w:r>
    </w:p>
    <w:p>
      <w:pPr>
        <w:rPr>
          <w:rFonts w:hint="eastAsia" w:hAnsi="宋体" w:cs="Arial"/>
        </w:rPr>
      </w:pPr>
      <w:r>
        <w:rPr>
          <w:rFonts w:hint="eastAsia" w:hAnsi="宋体" w:cs="Arial"/>
        </w:rPr>
        <w:t>3、所投真空断路器应具备良好的电气开断性能，满足电气寿命E2级，满容量开断次数 ≥50</w:t>
      </w:r>
      <w:r>
        <w:rPr>
          <w:rFonts w:hint="eastAsia" w:hAnsi="宋体" w:cs="Arial"/>
          <w:lang w:val="en-US" w:eastAsia="zh-CN"/>
        </w:rPr>
        <w:t>以上。</w:t>
      </w:r>
    </w:p>
    <w:p>
      <w:r>
        <w:rPr>
          <w:rFonts w:hint="eastAsia" w:hAnsi="宋体" w:cs="Arial"/>
        </w:rPr>
        <w:t>提供第三方检测机构出具的具有CMA和CNAS标识的检验报告并加盖制造商公章</w:t>
      </w:r>
      <w:bookmarkStart w:id="2" w:name="_GoBack"/>
      <w:bookmarkEnd w:id="2"/>
      <w:r>
        <w:rPr>
          <w:rFonts w:hint="eastAsia" w:hAnsi="宋体" w:cs="Arial"/>
        </w:rPr>
        <w:t>。</w:t>
      </w:r>
    </w:p>
    <w:p/>
    <w:p/>
    <w:p/>
    <w:p/>
    <w:p/>
    <w:p/>
    <w:p/>
    <w:p/>
    <w:p/>
    <w:sectPr>
      <w:footerReference r:id="rId7" w:type="first"/>
      <w:footerReference r:id="rId5" w:type="default"/>
      <w:footerReference r:id="rId6" w:type="even"/>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61312" behindDoc="0" locked="0" layoutInCell="1" allowOverlap="1">
              <wp:simplePos x="0" y="0"/>
              <wp:positionH relativeFrom="page">
                <wp:align>center</wp:align>
              </wp:positionH>
              <wp:positionV relativeFrom="page">
                <wp:align>bottom</wp:align>
              </wp:positionV>
              <wp:extent cx="443865" cy="443865"/>
              <wp:effectExtent l="0" t="0" r="3810" b="0"/>
              <wp:wrapNone/>
              <wp:docPr id="3" name="文本框 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pPr>
                            <w:rPr>
                              <w:rFonts w:eastAsia="Calibri" w:cs="Calibri"/>
                              <w:color w:val="626469"/>
                              <w:sz w:val="12"/>
                              <w:szCs w:val="12"/>
                            </w:rPr>
                          </w:pPr>
                          <w:r>
                            <w:rPr>
                              <w:rFonts w:eastAsia="Calibri" w:cs="Calibri"/>
                              <w:color w:val="626469"/>
                              <w:sz w:val="12"/>
                              <w:szCs w:val="12"/>
                            </w:rPr>
                            <w:t>Public</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w:pict>
            <v:shape id="_x0000_s1026" o:spid="_x0000_s1026" o:spt="202" alt="Public" type="#_x0000_t202" style="position:absolute;left:0pt;height:34.95pt;width:34.95pt;mso-position-horizontal:center;mso-position-horizontal-relative:page;mso-position-vertical:bottom;mso-position-vertical-relative:page;mso-wrap-style:none;z-index:251661312;v-text-anchor:bottom;mso-width-relative:page;mso-height-relative:page;" filled="f" stroked="f" coordsize="21600,21600" o:gfxdata="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IGuoNIAAAADAQAADwAAAAAAAAABACAAAAAiAAAAZHJzL2Rvd25yZXYueG1sUEsB&#10;AhQAFAAAAAgAh07iQOscDVM0AgAAXgQAAA4AAAAAAAAAAQAgAAAAIQEAAGRycy9lMm9Eb2MueG1s&#10;UEsFBgAAAAAGAAYAWQEAAMcFAAAAAA==&#10;">
              <v:fill on="f" focussize="0,0"/>
              <v:stroke on="f"/>
              <v:imagedata o:title=""/>
              <o:lock v:ext="edit" aspectratio="f"/>
              <v:textbox inset="0mm,0mm,0mm,15pt" style="mso-fit-shape-to-text:t;">
                <w:txbxContent>
                  <w:p>
                    <w:pPr>
                      <w:rPr>
                        <w:rFonts w:eastAsia="Calibri" w:cs="Calibri"/>
                        <w:color w:val="626469"/>
                        <w:sz w:val="12"/>
                        <w:szCs w:val="12"/>
                      </w:rPr>
                    </w:pPr>
                    <w:r>
                      <w:rPr>
                        <w:rFonts w:eastAsia="Calibri" w:cs="Calibri"/>
                        <w:color w:val="626469"/>
                        <w:sz w:val="12"/>
                        <w:szCs w:val="12"/>
                      </w:rPr>
                      <w:t>Public</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60288" behindDoc="0" locked="0" layoutInCell="1" allowOverlap="1">
              <wp:simplePos x="0" y="0"/>
              <wp:positionH relativeFrom="page">
                <wp:align>center</wp:align>
              </wp:positionH>
              <wp:positionV relativeFrom="page">
                <wp:align>bottom</wp:align>
              </wp:positionV>
              <wp:extent cx="443865" cy="443865"/>
              <wp:effectExtent l="0" t="0" r="3810" b="0"/>
              <wp:wrapNone/>
              <wp:docPr id="2" name="文本框 2"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pPr>
                            <w:rPr>
                              <w:rFonts w:eastAsia="Calibri" w:cs="Calibri"/>
                              <w:color w:val="626469"/>
                              <w:sz w:val="12"/>
                              <w:szCs w:val="12"/>
                            </w:rPr>
                          </w:pPr>
                          <w:r>
                            <w:rPr>
                              <w:rFonts w:eastAsia="Calibri" w:cs="Calibri"/>
                              <w:color w:val="626469"/>
                              <w:sz w:val="12"/>
                              <w:szCs w:val="12"/>
                            </w:rPr>
                            <w:t>Public</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w:pict>
            <v:shape id="_x0000_s1026" o:spid="_x0000_s1026" o:spt="202" alt="Public" type="#_x0000_t202" style="position:absolute;left:0pt;height:34.95pt;width:34.95pt;mso-position-horizontal:center;mso-position-horizontal-relative:page;mso-position-vertical:bottom;mso-position-vertical-relative:page;mso-wrap-style:none;z-index:251660288;v-text-anchor:bottom;mso-width-relative:page;mso-height-relative:page;" filled="f" stroked="f" coordsize="21600,21600" o:gfxdata="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yBrqDSAAAAAwEAAA8AAAAAAAAAAQAgAAAAIgAAAGRycy9kb3ducmV2LnhtbFBL&#10;AQIUABQAAAAIAIdO4kDPuDveNQIAAF4EAAAOAAAAAAAAAAEAIAAAACEBAABkcnMvZTJvRG9jLnht&#10;bFBLBQYAAAAABgAGAFkBAADIBQAAAAA=&#10;">
              <v:fill on="f" focussize="0,0"/>
              <v:stroke on="f"/>
              <v:imagedata o:title=""/>
              <o:lock v:ext="edit" aspectratio="f"/>
              <v:textbox inset="0mm,0mm,0mm,15pt" style="mso-fit-shape-to-text:t;">
                <w:txbxContent>
                  <w:p>
                    <w:pPr>
                      <w:rPr>
                        <w:rFonts w:eastAsia="Calibri" w:cs="Calibri"/>
                        <w:color w:val="626469"/>
                        <w:sz w:val="12"/>
                        <w:szCs w:val="12"/>
                      </w:rPr>
                    </w:pPr>
                    <w:r>
                      <w:rPr>
                        <w:rFonts w:eastAsia="Calibri" w:cs="Calibri"/>
                        <w:color w:val="626469"/>
                        <w:sz w:val="12"/>
                        <w:szCs w:val="12"/>
                      </w:rPr>
                      <w:t>Public</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page">
                <wp:align>center</wp:align>
              </wp:positionH>
              <wp:positionV relativeFrom="page">
                <wp:align>bottom</wp:align>
              </wp:positionV>
              <wp:extent cx="443865" cy="443865"/>
              <wp:effectExtent l="0" t="0" r="3810" b="0"/>
              <wp:wrapNone/>
              <wp:docPr id="1" name="文本框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pPr>
                            <w:rPr>
                              <w:rFonts w:eastAsia="Calibri" w:cs="Calibri"/>
                              <w:color w:val="626469"/>
                              <w:sz w:val="12"/>
                              <w:szCs w:val="12"/>
                            </w:rPr>
                          </w:pPr>
                          <w:r>
                            <w:rPr>
                              <w:rFonts w:eastAsia="Calibri" w:cs="Calibri"/>
                              <w:color w:val="626469"/>
                              <w:sz w:val="12"/>
                              <w:szCs w:val="12"/>
                            </w:rPr>
                            <w:t>Public</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w:pict>
            <v:shape id="_x0000_s1026" o:spid="_x0000_s1026" o:spt="202" alt="Public" type="#_x0000_t202" style="position:absolute;left:0pt;height:34.95pt;width:34.95pt;mso-position-horizontal:center;mso-position-horizontal-relative:page;mso-position-vertical:bottom;mso-position-vertical-relative:page;mso-wrap-style:none;z-index:251659264;v-text-anchor:bottom;mso-width-relative:page;mso-height-relative:page;" filled="f" stroked="f" coordsize="21600,21600" o:gfxdata="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IGuoNIAAAADAQAADwAAAAAAAAABACAAAAAiAAAAZHJzL2Rvd25yZXYueG1sUEsB&#10;AhQAFAAAAAgAh07iQOJSEZI0AgAAXgQAAA4AAAAAAAAAAQAgAAAAIQEAAGRycy9lMm9Eb2MueG1s&#10;UEsFBgAAAAAGAAYAWQEAAMcFAAAAAA==&#10;">
              <v:fill on="f" focussize="0,0"/>
              <v:stroke on="f"/>
              <v:imagedata o:title=""/>
              <o:lock v:ext="edit" aspectratio="f"/>
              <v:textbox inset="0mm,0mm,0mm,15pt" style="mso-fit-shape-to-text:t;">
                <w:txbxContent>
                  <w:p>
                    <w:pPr>
                      <w:rPr>
                        <w:rFonts w:eastAsia="Calibri" w:cs="Calibri"/>
                        <w:color w:val="626469"/>
                        <w:sz w:val="12"/>
                        <w:szCs w:val="12"/>
                      </w:rPr>
                    </w:pPr>
                    <w:r>
                      <w:rPr>
                        <w:rFonts w:eastAsia="Calibri" w:cs="Calibri"/>
                        <w:color w:val="626469"/>
                        <w:sz w:val="12"/>
                        <w:szCs w:val="12"/>
                      </w:rPr>
                      <w:t>Public</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zNGI4MWMwYjdlZmQ4MTk2ZWY5Njc4ZjczZjVjMDIifQ=="/>
  </w:docVars>
  <w:rsids>
    <w:rsidRoot w:val="00316D92"/>
    <w:rsid w:val="00002B05"/>
    <w:rsid w:val="000F0681"/>
    <w:rsid w:val="00316D92"/>
    <w:rsid w:val="00331219"/>
    <w:rsid w:val="0049038F"/>
    <w:rsid w:val="006374C9"/>
    <w:rsid w:val="00641DA3"/>
    <w:rsid w:val="0066090D"/>
    <w:rsid w:val="0066669F"/>
    <w:rsid w:val="006864A4"/>
    <w:rsid w:val="006A5F21"/>
    <w:rsid w:val="00724D42"/>
    <w:rsid w:val="007F726B"/>
    <w:rsid w:val="008000C4"/>
    <w:rsid w:val="00883A39"/>
    <w:rsid w:val="008956D3"/>
    <w:rsid w:val="00A27C1B"/>
    <w:rsid w:val="00A37DA0"/>
    <w:rsid w:val="00A56B16"/>
    <w:rsid w:val="00B00D8C"/>
    <w:rsid w:val="00B3401F"/>
    <w:rsid w:val="00B86C34"/>
    <w:rsid w:val="00C66FAA"/>
    <w:rsid w:val="00CF0186"/>
    <w:rsid w:val="00D8492F"/>
    <w:rsid w:val="00D87F79"/>
    <w:rsid w:val="00DC1584"/>
    <w:rsid w:val="00E05775"/>
    <w:rsid w:val="00E57728"/>
    <w:rsid w:val="00EA2F90"/>
    <w:rsid w:val="00EB3F81"/>
    <w:rsid w:val="00EF4167"/>
    <w:rsid w:val="00F42C77"/>
    <w:rsid w:val="00FF28E9"/>
    <w:rsid w:val="1E001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1"/>
      <w:lang w:val="en-US" w:eastAsia="zh-CN" w:bidi="ar-SA"/>
      <w14:ligatures w14:val="none"/>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uiPriority w:val="99"/>
    <w:pPr>
      <w:widowControl/>
      <w:tabs>
        <w:tab w:val="center" w:pos="4320"/>
        <w:tab w:val="right" w:pos="8640"/>
      </w:tabs>
      <w:jc w:val="left"/>
    </w:pPr>
    <w:rPr>
      <w:rFonts w:asciiTheme="minorHAnsi" w:hAnsiTheme="minorHAnsi" w:eastAsiaTheme="minorEastAsia" w:cstheme="minorBidi"/>
      <w:sz w:val="22"/>
      <w:szCs w:val="22"/>
      <w14:ligatures w14:val="standardContextual"/>
    </w:rPr>
  </w:style>
  <w:style w:type="paragraph" w:styleId="3">
    <w:name w:val="header"/>
    <w:basedOn w:val="1"/>
    <w:link w:val="7"/>
    <w:unhideWhenUsed/>
    <w:uiPriority w:val="99"/>
    <w:pPr>
      <w:tabs>
        <w:tab w:val="center" w:pos="4320"/>
        <w:tab w:val="right" w:pos="8640"/>
      </w:tabs>
    </w:pPr>
  </w:style>
  <w:style w:type="character" w:customStyle="1" w:styleId="6">
    <w:name w:val="页脚 字符"/>
    <w:basedOn w:val="5"/>
    <w:link w:val="2"/>
    <w:uiPriority w:val="99"/>
  </w:style>
  <w:style w:type="character" w:customStyle="1" w:styleId="7">
    <w:name w:val="页眉 字符"/>
    <w:basedOn w:val="5"/>
    <w:link w:val="3"/>
    <w:uiPriority w:val="99"/>
    <w:rPr>
      <w:rFonts w:ascii="Calibri" w:hAnsi="Calibri" w:eastAsia="宋体" w:cs="Times New Roman"/>
      <w:sz w:val="21"/>
      <w:szCs w:val="21"/>
      <w14:ligatures w14:val="none"/>
    </w:rPr>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696</Words>
  <Characters>836</Characters>
  <Lines>6</Lines>
  <Paragraphs>1</Paragraphs>
  <TotalTime>128</TotalTime>
  <ScaleCrop>false</ScaleCrop>
  <LinksUpToDate>false</LinksUpToDate>
  <CharactersWithSpaces>852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2024-04-23T11:25:00Z</dcterms:created>
  <dc:creator>Yan WEN</dc:creator>
  <cp:lastModifiedBy>海阔天空</cp:lastModifiedBy>
  <dcterms:modified xsi:type="dcterms:W3CDTF">2024-06-25T01:36:05Z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#626469,6,Calibri</vt:lpwstr>
  </property>
  <property fmtid="{D5CDD505-2E9C-101B-9397-08002B2CF9AE}" pid="4" name="ClassificationContentMarkingFooterText">
    <vt:lpwstr>Public</vt:lpwstr>
  </property>
  <property fmtid="{D5CDD505-2E9C-101B-9397-08002B2CF9AE}" pid="5" name="MSIP_Label_23507802-f8e4-4e38-829c-ac8ea9b241e4_Enabled">
    <vt:lpwstr>true</vt:lpwstr>
  </property>
  <property fmtid="{D5CDD505-2E9C-101B-9397-08002B2CF9AE}" pid="6" name="MSIP_Label_23507802-f8e4-4e38-829c-ac8ea9b241e4_SetDate">
    <vt:lpwstr>2024-04-23T11:25:24Z</vt:lpwstr>
  </property>
  <property fmtid="{D5CDD505-2E9C-101B-9397-08002B2CF9AE}" pid="7" name="MSIP_Label_23507802-f8e4-4e38-829c-ac8ea9b241e4_Method">
    <vt:lpwstr>Privileged</vt:lpwstr>
  </property>
  <property fmtid="{D5CDD505-2E9C-101B-9397-08002B2CF9AE}" pid="8" name="MSIP_Label_23507802-f8e4-4e38-829c-ac8ea9b241e4_Name">
    <vt:lpwstr>Public v2</vt:lpwstr>
  </property>
  <property fmtid="{D5CDD505-2E9C-101B-9397-08002B2CF9AE}" pid="9" name="MSIP_Label_23507802-f8e4-4e38-829c-ac8ea9b241e4_SiteId">
    <vt:lpwstr>6e51e1ad-c54b-4b39-b598-0ffe9ae68fef</vt:lpwstr>
  </property>
  <property fmtid="{D5CDD505-2E9C-101B-9397-08002B2CF9AE}" pid="10" name="MSIP_Label_23507802-f8e4-4e38-829c-ac8ea9b241e4_ActionId">
    <vt:lpwstr>a05112a6-4ab0-4327-8479-1c482b279b3c</vt:lpwstr>
  </property>
  <property fmtid="{D5CDD505-2E9C-101B-9397-08002B2CF9AE}" pid="11" name="MSIP_Label_23507802-f8e4-4e38-829c-ac8ea9b241e4_ContentBits">
    <vt:lpwstr>2</vt:lpwstr>
  </property>
  <property fmtid="{D5CDD505-2E9C-101B-9397-08002B2CF9AE}" pid="12" name="KSOProductBuildVer">
    <vt:lpwstr>2052-12.1.0.16929</vt:lpwstr>
  </property>
  <property fmtid="{D5CDD505-2E9C-101B-9397-08002B2CF9AE}" pid="13" name="ICV">
    <vt:lpwstr>9636B4910F0146EEAC764FF610E2F61E_12</vt:lpwstr>
  </property>
</Properties>
</file>